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3250" w14:textId="77777777" w:rsidR="00BB53D8" w:rsidRDefault="0039351C">
      <w:pPr>
        <w:pStyle w:val="Title"/>
      </w:pPr>
      <w:r>
        <w:t>Professor Chris Ballentine</w:t>
      </w:r>
    </w:p>
    <w:p w14:paraId="245F1942" w14:textId="77777777" w:rsidR="00BB53D8" w:rsidRDefault="0039351C">
      <w:pPr>
        <w:pStyle w:val="Subtitle"/>
      </w:pPr>
      <w:r>
        <w:t>Six page curriculum vitae</w:t>
      </w:r>
    </w:p>
    <w:p w14:paraId="6F58BC8F" w14:textId="77777777" w:rsidR="00BB53D8" w:rsidRDefault="0039351C">
      <w:pPr>
        <w:pStyle w:val="Lead"/>
      </w:pPr>
      <w:r>
        <w:rPr>
          <w:b/>
        </w:rPr>
        <w:t>Statutory Professor of Geochemistry, University of Oxford</w:t>
      </w:r>
      <w:r>
        <w:br/>
        <w:t>Noble gas geochemistry  •  Earth and planetary volatiles  •  Natural hydrogen and helium  •  Subsurface fluid systems</w:t>
      </w:r>
    </w:p>
    <w:p w14:paraId="3A46B402" w14:textId="77777777" w:rsidR="00BB53D8" w:rsidRDefault="0039351C">
      <w:pPr>
        <w:pStyle w:val="Heading1"/>
      </w:pPr>
      <w:r>
        <w:t>Summary of distinction</w:t>
      </w:r>
    </w:p>
    <w:p w14:paraId="45748685" w14:textId="77777777" w:rsidR="00BB53D8" w:rsidRDefault="0039351C">
      <w:r>
        <w:t>Chris Ballentine created a quantitative noble-gas framework for reading the history and behaviour of fluids across the Earth system. By combining analytical innovation with physical models, he turned chemically inert trace gases into measures of source, age, mixing, migration, residence time and fluid mass balance. This capability has produced a connected series of breakthroughs—from the origin and recycling of planetary volatiles, through billion-year-old crustal fluids and deep habitability, to predictive models for natural hydrogen, primary helium and geological carbon storage.</w:t>
      </w:r>
    </w:p>
    <w:p w14:paraId="22597555" w14:textId="02FCB56A" w:rsidR="00BB53D8" w:rsidRDefault="0039351C">
      <w:r>
        <w:t xml:space="preserve">The defining feature of the work is its reach across fundamental and applied science. It has changed models of Earth’s accretion and mantle evolution; overturned accepted assumptions about volatile subduction and CO₂ trapping; revealed some of the oldest fluids on Earth; established continental-crust hydrogen as both a planetary energy source and a possible resource; and created exploration concepts now used by energy and resource companies. The work </w:t>
      </w:r>
      <w:r w:rsidR="0055023F">
        <w:t>represents</w:t>
      </w:r>
      <w:r>
        <w:t xml:space="preserve"> a sustained intellectual programme built around one unusually powerful set of tracers and questions.</w:t>
      </w:r>
    </w:p>
    <w:p w14:paraId="5CF70FA0" w14:textId="77777777" w:rsidR="00BB53D8" w:rsidRDefault="0039351C">
      <w:pPr>
        <w:pStyle w:val="Heading1"/>
      </w:pPr>
      <w:r>
        <w:t>Highest recognition</w:t>
      </w:r>
    </w:p>
    <w:tbl>
      <w:tblPr>
        <w:tblW w:w="0" w:type="auto"/>
        <w:jc w:val="center"/>
        <w:tblLayout w:type="fixed"/>
        <w:tblLook w:val="04A0" w:firstRow="1" w:lastRow="0" w:firstColumn="1" w:lastColumn="0" w:noHBand="0" w:noVBand="1"/>
      </w:tblPr>
      <w:tblGrid>
        <w:gridCol w:w="1584"/>
        <w:gridCol w:w="8352"/>
      </w:tblGrid>
      <w:tr w:rsidR="00BB53D8" w14:paraId="79FE9C4B" w14:textId="77777777">
        <w:trPr>
          <w:jc w:val="center"/>
        </w:trPr>
        <w:tc>
          <w:tcPr>
            <w:tcW w:w="1584" w:type="dxa"/>
            <w:tcMar>
              <w:top w:w="45" w:type="dxa"/>
              <w:left w:w="65" w:type="dxa"/>
              <w:bottom w:w="45" w:type="dxa"/>
              <w:right w:w="65" w:type="dxa"/>
            </w:tcMar>
          </w:tcPr>
          <w:p w14:paraId="0D1F4D7C" w14:textId="77777777" w:rsidR="00BB53D8" w:rsidRDefault="0039351C">
            <w:pPr>
              <w:pStyle w:val="Timelineyear"/>
            </w:pPr>
            <w:r>
              <w:t>2016</w:t>
            </w:r>
          </w:p>
        </w:tc>
        <w:tc>
          <w:tcPr>
            <w:tcW w:w="8352" w:type="dxa"/>
            <w:tcMar>
              <w:top w:w="45" w:type="dxa"/>
              <w:left w:w="65" w:type="dxa"/>
              <w:bottom w:w="45" w:type="dxa"/>
              <w:right w:w="65" w:type="dxa"/>
            </w:tcMar>
          </w:tcPr>
          <w:p w14:paraId="04EC5828" w14:textId="77777777" w:rsidR="00BB53D8" w:rsidRDefault="0039351C">
            <w:pPr>
              <w:pStyle w:val="Timelinetext"/>
            </w:pPr>
            <w:r>
              <w:t>Eni Award, New Frontiers of Hydrocarbons Upstream Prize—one of the leading international energy-research prizes and often described as the “Nobel Prize of energy”. Presented by the President of Italy for novel tracers of subsurface gas and fluid processes.</w:t>
            </w:r>
          </w:p>
        </w:tc>
      </w:tr>
      <w:tr w:rsidR="00BB53D8" w14:paraId="0913A868" w14:textId="77777777">
        <w:trPr>
          <w:jc w:val="center"/>
        </w:trPr>
        <w:tc>
          <w:tcPr>
            <w:tcW w:w="1584" w:type="dxa"/>
            <w:tcMar>
              <w:top w:w="45" w:type="dxa"/>
              <w:left w:w="65" w:type="dxa"/>
              <w:bottom w:w="45" w:type="dxa"/>
              <w:right w:w="65" w:type="dxa"/>
            </w:tcMar>
          </w:tcPr>
          <w:p w14:paraId="37BED811" w14:textId="77777777" w:rsidR="00BB53D8" w:rsidRDefault="0039351C">
            <w:pPr>
              <w:pStyle w:val="Timelineyear"/>
            </w:pPr>
            <w:r>
              <w:t>2013</w:t>
            </w:r>
          </w:p>
        </w:tc>
        <w:tc>
          <w:tcPr>
            <w:tcW w:w="8352" w:type="dxa"/>
            <w:tcMar>
              <w:top w:w="45" w:type="dxa"/>
              <w:left w:w="65" w:type="dxa"/>
              <w:bottom w:w="45" w:type="dxa"/>
              <w:right w:w="65" w:type="dxa"/>
            </w:tcMar>
          </w:tcPr>
          <w:p w14:paraId="2F73D087" w14:textId="77777777" w:rsidR="00BB53D8" w:rsidRDefault="0039351C">
            <w:pPr>
              <w:pStyle w:val="Timelinetext"/>
            </w:pPr>
            <w:r>
              <w:t>Fellow, American Geophysical Union, recognising fundamental contributions to the origin and evolution of volatiles in Earth’s mantle.</w:t>
            </w:r>
          </w:p>
        </w:tc>
      </w:tr>
      <w:tr w:rsidR="00BB53D8" w14:paraId="75A8BD8B" w14:textId="77777777">
        <w:trPr>
          <w:jc w:val="center"/>
        </w:trPr>
        <w:tc>
          <w:tcPr>
            <w:tcW w:w="1584" w:type="dxa"/>
            <w:tcMar>
              <w:top w:w="45" w:type="dxa"/>
              <w:left w:w="65" w:type="dxa"/>
              <w:bottom w:w="45" w:type="dxa"/>
              <w:right w:w="65" w:type="dxa"/>
            </w:tcMar>
          </w:tcPr>
          <w:p w14:paraId="52305DB2" w14:textId="77777777" w:rsidR="00BB53D8" w:rsidRDefault="0039351C">
            <w:pPr>
              <w:pStyle w:val="Timelineyear"/>
            </w:pPr>
            <w:r>
              <w:t>2008</w:t>
            </w:r>
          </w:p>
        </w:tc>
        <w:tc>
          <w:tcPr>
            <w:tcW w:w="8352" w:type="dxa"/>
            <w:tcMar>
              <w:top w:w="45" w:type="dxa"/>
              <w:left w:w="65" w:type="dxa"/>
              <w:bottom w:w="45" w:type="dxa"/>
              <w:right w:w="65" w:type="dxa"/>
            </w:tcMar>
          </w:tcPr>
          <w:p w14:paraId="24874D2F" w14:textId="77777777" w:rsidR="00BB53D8" w:rsidRDefault="0039351C">
            <w:pPr>
              <w:pStyle w:val="Timelinetext"/>
            </w:pPr>
            <w:r>
              <w:t>Bigsby Medal, Geological Society of London, for eminent contributions to geology.</w:t>
            </w:r>
          </w:p>
        </w:tc>
      </w:tr>
      <w:tr w:rsidR="00BB53D8" w14:paraId="5EF4C951" w14:textId="77777777">
        <w:trPr>
          <w:jc w:val="center"/>
        </w:trPr>
        <w:tc>
          <w:tcPr>
            <w:tcW w:w="1584" w:type="dxa"/>
            <w:tcMar>
              <w:top w:w="45" w:type="dxa"/>
              <w:left w:w="65" w:type="dxa"/>
              <w:bottom w:w="45" w:type="dxa"/>
              <w:right w:w="65" w:type="dxa"/>
            </w:tcMar>
          </w:tcPr>
          <w:p w14:paraId="657C638C" w14:textId="77777777" w:rsidR="00BB53D8" w:rsidRDefault="0039351C">
            <w:pPr>
              <w:pStyle w:val="Timelineyear"/>
            </w:pPr>
            <w:r>
              <w:t>Other</w:t>
            </w:r>
          </w:p>
        </w:tc>
        <w:tc>
          <w:tcPr>
            <w:tcW w:w="8352" w:type="dxa"/>
            <w:tcMar>
              <w:top w:w="45" w:type="dxa"/>
              <w:left w:w="65" w:type="dxa"/>
              <w:bottom w:w="45" w:type="dxa"/>
              <w:right w:w="65" w:type="dxa"/>
            </w:tcMar>
          </w:tcPr>
          <w:p w14:paraId="7003DAFB" w14:textId="77777777" w:rsidR="00BB53D8" w:rsidRDefault="0039351C">
            <w:pPr>
              <w:pStyle w:val="Timelinetext"/>
            </w:pPr>
            <w:r>
              <w:t>Geochemical Fellow, EAG and GS (2022), with a citation recognising pivotal work in raising noble-gas geochemistry to a new level of sophistication; Fellow, CIFAR (2019); Fellow, Geological Society of London (2009); ERC Advanced Grant (2011).</w:t>
            </w:r>
          </w:p>
        </w:tc>
      </w:tr>
    </w:tbl>
    <w:p w14:paraId="6FDC0542" w14:textId="77777777" w:rsidR="00BB53D8" w:rsidRDefault="0039351C">
      <w:pPr>
        <w:pStyle w:val="Heading1"/>
      </w:pPr>
      <w:r>
        <w:t>Defining features of the contribution</w:t>
      </w:r>
    </w:p>
    <w:p w14:paraId="66C2B733" w14:textId="77777777" w:rsidR="00BB53D8" w:rsidRDefault="0039351C">
      <w:pPr>
        <w:spacing w:after="60"/>
        <w:ind w:left="259" w:hanging="202"/>
      </w:pPr>
      <w:r>
        <w:rPr>
          <w:b/>
        </w:rPr>
        <w:t xml:space="preserve">•  </w:t>
      </w:r>
      <w:r>
        <w:t>Originality: established new measurements and interpretive frameworks rather than applying an existing method to new cases.</w:t>
      </w:r>
    </w:p>
    <w:p w14:paraId="56FB140A" w14:textId="77777777" w:rsidR="00BB53D8" w:rsidRDefault="0039351C">
      <w:pPr>
        <w:spacing w:after="60"/>
        <w:ind w:left="259" w:hanging="202"/>
      </w:pPr>
      <w:r>
        <w:rPr>
          <w:b/>
        </w:rPr>
        <w:t xml:space="preserve">•  </w:t>
      </w:r>
      <w:r>
        <w:t>Field change: repeatedly replaced qualitative or disputed models with quantitative, testable constraints.</w:t>
      </w:r>
    </w:p>
    <w:p w14:paraId="793CAEC7" w14:textId="77777777" w:rsidR="00BB53D8" w:rsidRDefault="0039351C">
      <w:pPr>
        <w:spacing w:after="60"/>
        <w:ind w:left="259" w:hanging="202"/>
      </w:pPr>
      <w:r>
        <w:rPr>
          <w:b/>
        </w:rPr>
        <w:t xml:space="preserve">•  </w:t>
      </w:r>
      <w:r>
        <w:t>Breadth with coherence: linked planetary accretion, mantle dynamics, crustal habitability and societally important subsurface resources through a single scientific programme.</w:t>
      </w:r>
    </w:p>
    <w:p w14:paraId="2809FEC2" w14:textId="77777777" w:rsidR="00BB53D8" w:rsidRDefault="0039351C">
      <w:pPr>
        <w:spacing w:after="60"/>
        <w:ind w:left="259" w:hanging="202"/>
      </w:pPr>
      <w:r>
        <w:rPr>
          <w:b/>
        </w:rPr>
        <w:t xml:space="preserve">•  </w:t>
      </w:r>
      <w:r>
        <w:t>Enduring influence: concepts have been adopted across geochemistry, geodynamics, hydrogeology, carbon storage and hydrogen and helium exploration, while successive generations of researchers have extended the work.</w:t>
      </w:r>
    </w:p>
    <w:p w14:paraId="227F12B3" w14:textId="77777777" w:rsidR="00BB53D8" w:rsidRDefault="0039351C">
      <w:r>
        <w:br w:type="page"/>
      </w:r>
    </w:p>
    <w:p w14:paraId="7FFD15AB" w14:textId="77777777" w:rsidR="00BB53D8" w:rsidRDefault="0039351C">
      <w:pPr>
        <w:pStyle w:val="Heading1"/>
      </w:pPr>
      <w:r>
        <w:lastRenderedPageBreak/>
        <w:t>Breakthrough contributions to Earth and planetary science</w:t>
      </w:r>
    </w:p>
    <w:p w14:paraId="2B354D9D" w14:textId="77777777" w:rsidR="00BB53D8" w:rsidRDefault="0039351C">
      <w:pPr>
        <w:pStyle w:val="Heading2"/>
      </w:pPr>
      <w:r>
        <w:t>1  The origin of Earth’s interior and atmospheric noble gases</w:t>
      </w:r>
    </w:p>
    <w:p w14:paraId="36EF49B1" w14:textId="77777777" w:rsidR="00BB53D8" w:rsidRDefault="0039351C">
      <w:r>
        <w:rPr>
          <w:b/>
        </w:rPr>
        <w:t xml:space="preserve">Discovery and originality. </w:t>
      </w:r>
      <w:r>
        <w:t>Obtained the first high-precision, full heavy noble-gas isotope and abundance constraints for Earth’s shallow mantle by exploiting a natural continental-crust isotope spike to separate air contamination from the mantle signal.</w:t>
      </w:r>
    </w:p>
    <w:p w14:paraId="14EAD3FC" w14:textId="77777777" w:rsidR="00BB53D8" w:rsidRDefault="0039351C">
      <w:r>
        <w:rPr>
          <w:b/>
        </w:rPr>
        <w:t xml:space="preserve">Evidence. </w:t>
      </w:r>
      <w:r>
        <w:t>A linked series of Nature and Science papers resolved mantle neon and krypton signatures at precisions previously unavailable and distinguished the volatile inventory of the mantle from that of the atmosphere.</w:t>
      </w:r>
    </w:p>
    <w:p w14:paraId="0FD3255E" w14:textId="77777777" w:rsidR="00BB53D8" w:rsidRDefault="0039351C">
      <w:r>
        <w:rPr>
          <w:b/>
        </w:rPr>
        <w:t xml:space="preserve">Lasting consequence. </w:t>
      </w:r>
      <w:r>
        <w:t>The results rejected simple magma-ocean equilibration with a solar-nebula atmosphere, supported meteorite delivery of Earth’s interior gases, and implied a later ice-rich contribution to atmospheric heavy noble gases. They became a primary observational basis for models of planetary volatile accretion.</w:t>
      </w:r>
    </w:p>
    <w:p w14:paraId="324D512E" w14:textId="77777777" w:rsidR="00BB53D8" w:rsidRDefault="0039351C">
      <w:pPr>
        <w:pStyle w:val="Heading2"/>
      </w:pPr>
      <w:r>
        <w:t>2  Volatile recycling through subduction</w:t>
      </w:r>
    </w:p>
    <w:p w14:paraId="5B3016DE" w14:textId="77777777" w:rsidR="00BB53D8" w:rsidRDefault="0039351C">
      <w:r>
        <w:rPr>
          <w:b/>
        </w:rPr>
        <w:t xml:space="preserve">Discovery and originality. </w:t>
      </w:r>
      <w:r>
        <w:t>Identified seawater-derived noble gases in the mantle, directly challenging the long-standing concept of a “subduction barrier” that prevented heavy noble gases from returning to the deep Earth.</w:t>
      </w:r>
    </w:p>
    <w:p w14:paraId="5EEA3596" w14:textId="77777777" w:rsidR="00BB53D8" w:rsidRDefault="0039351C">
      <w:r>
        <w:rPr>
          <w:b/>
        </w:rPr>
        <w:t xml:space="preserve">Evidence. </w:t>
      </w:r>
      <w:r>
        <w:t>Noble-gas and halogen measurements in mantle-derived samples and exhumed mantle-wedge peridotites showed that marine pore-fluid signatures survive transport to at least 100 km depth.</w:t>
      </w:r>
    </w:p>
    <w:p w14:paraId="5A16ADC2" w14:textId="77777777" w:rsidR="00BB53D8" w:rsidRDefault="0039351C">
      <w:r>
        <w:rPr>
          <w:b/>
        </w:rPr>
        <w:t xml:space="preserve">Lasting consequence. </w:t>
      </w:r>
      <w:r>
        <w:t>Established deep recycling of seawater-derived volatiles as an observable component of mantle geochemistry and opened a route to connecting noble-gas tracers with water and other major volatile cycles.</w:t>
      </w:r>
    </w:p>
    <w:p w14:paraId="3314C564" w14:textId="77777777" w:rsidR="00BB53D8" w:rsidRDefault="0039351C">
      <w:pPr>
        <w:pStyle w:val="Heading2"/>
      </w:pPr>
      <w:r>
        <w:t>3  Resolving Earth’s missing argon paradox</w:t>
      </w:r>
    </w:p>
    <w:p w14:paraId="3EE565F8" w14:textId="77777777" w:rsidR="00BB53D8" w:rsidRDefault="0039351C">
      <w:r>
        <w:rPr>
          <w:b/>
        </w:rPr>
        <w:t xml:space="preserve">Discovery and originality. </w:t>
      </w:r>
      <w:r>
        <w:t>Integrated geochemistry with mantle-convection modelling to solve the long-standing mismatch between radiogenic ⁴⁰Ar production and the inventories observed in the atmosphere and upper mantle.</w:t>
      </w:r>
    </w:p>
    <w:p w14:paraId="0185B05E" w14:textId="77777777" w:rsidR="00BB53D8" w:rsidRDefault="0039351C">
      <w:r>
        <w:rPr>
          <w:b/>
        </w:rPr>
        <w:t xml:space="preserve">Evidence. </w:t>
      </w:r>
      <w:r>
        <w:t>Models incorporating potassium-rich recycled oceanic crust and dispersed unmelted material account for the global argon budget without requiring a large, permanently isolated lower-mantle reservoir.</w:t>
      </w:r>
    </w:p>
    <w:p w14:paraId="00CBAE64" w14:textId="77777777" w:rsidR="00BB53D8" w:rsidRDefault="0039351C">
      <w:r>
        <w:rPr>
          <w:b/>
        </w:rPr>
        <w:t xml:space="preserve">Lasting consequence. </w:t>
      </w:r>
      <w:r>
        <w:t>Removed a major argument for a convectively isolated primordial lower mantle and provided a more internally consistent model of mantle structure, mixing and geochemical evolution.</w:t>
      </w:r>
    </w:p>
    <w:p w14:paraId="20EDD433" w14:textId="77777777" w:rsidR="00BB53D8" w:rsidRDefault="0039351C">
      <w:pPr>
        <w:pStyle w:val="Heading1"/>
      </w:pPr>
      <w:r>
        <w:t>Related advance  Halogen accretion</w:t>
      </w:r>
    </w:p>
    <w:p w14:paraId="5EF26B66" w14:textId="77777777" w:rsidR="00BB53D8" w:rsidRDefault="0039351C">
      <w:r>
        <w:t>A comprehensive clean-laboratory assay of chondritic meteorites showed that accepted halogen abundances were too high and too variable. The recalibrated values removed the need for exotic accretion models and brought the Bulk Silicate Earth halogen inventory into agreement with elements of comparable volatility (Nature, 2017).</w:t>
      </w:r>
    </w:p>
    <w:p w14:paraId="150F0275" w14:textId="77777777" w:rsidR="00BB53D8" w:rsidRDefault="0039351C">
      <w:r>
        <w:br w:type="page"/>
      </w:r>
    </w:p>
    <w:p w14:paraId="7BDE0EED" w14:textId="77777777" w:rsidR="00BB53D8" w:rsidRDefault="0039351C">
      <w:pPr>
        <w:pStyle w:val="Heading1"/>
      </w:pPr>
      <w:r>
        <w:lastRenderedPageBreak/>
        <w:t>Breakthrough contributions to crustal fluids and resources</w:t>
      </w:r>
    </w:p>
    <w:p w14:paraId="10EFA4CB" w14:textId="77777777" w:rsidR="00BB53D8" w:rsidRDefault="0039351C">
      <w:pPr>
        <w:pStyle w:val="Heading2"/>
      </w:pPr>
      <w:r>
        <w:t>4  Billion-year-old crustal fluids and deep habitability</w:t>
      </w:r>
    </w:p>
    <w:p w14:paraId="5491BB9D" w14:textId="77777777" w:rsidR="00BB53D8" w:rsidRDefault="0039351C">
      <w:r>
        <w:rPr>
          <w:b/>
        </w:rPr>
        <w:t xml:space="preserve">Discovery and originality. </w:t>
      </w:r>
      <w:r>
        <w:t>Demonstrated that fracture fluids in the Canadian Precambrian crust have minimum residence times of 1–2 billion years, with xenon-isotope evidence linking them to fluid movement at about 2.67 Ga.</w:t>
      </w:r>
    </w:p>
    <w:p w14:paraId="75D754E4" w14:textId="77777777" w:rsidR="00BB53D8" w:rsidRDefault="0039351C">
      <w:r>
        <w:rPr>
          <w:b/>
        </w:rPr>
        <w:t xml:space="preserve">Evidence. </w:t>
      </w:r>
      <w:r>
        <w:t>Independent noble-gas systems constrained both isolation and geological context; associated work quantified hydrogen production by radiolysis and water–rock reaction in continental crust.</w:t>
      </w:r>
    </w:p>
    <w:p w14:paraId="60E0AD61" w14:textId="77777777" w:rsidR="00BB53D8" w:rsidRDefault="0039351C">
      <w:r>
        <w:rPr>
          <w:b/>
        </w:rPr>
        <w:t xml:space="preserve">Lasting consequence. </w:t>
      </w:r>
      <w:r>
        <w:t>Revealed that the continental crust can preserve ancient, energy-rich waters on planetary timescales. The work changed views of the deep biosphere, provided an analogue for planetary habitability and established the scientific basis for continental natural-hydrogen generation.</w:t>
      </w:r>
    </w:p>
    <w:p w14:paraId="26685A80" w14:textId="77777777" w:rsidR="00BB53D8" w:rsidRDefault="0039351C">
      <w:pPr>
        <w:pStyle w:val="Heading2"/>
      </w:pPr>
      <w:r>
        <w:t>5  A predictive science of primary helium and natural hydrogen</w:t>
      </w:r>
    </w:p>
    <w:p w14:paraId="0C64A86F" w14:textId="77777777" w:rsidR="00BB53D8" w:rsidRDefault="0039351C">
      <w:r>
        <w:rPr>
          <w:b/>
        </w:rPr>
        <w:t xml:space="preserve">Discovery and originality. </w:t>
      </w:r>
      <w:r>
        <w:t>Developed the basin-scale concept that radiogenic helium and naturally generated hydrogen accumulate dissolved in deep groundwater over tens to hundreds of millions of years before migrating and concentrating in gas systems.</w:t>
      </w:r>
    </w:p>
    <w:p w14:paraId="0C9E6C31" w14:textId="77777777" w:rsidR="00BB53D8" w:rsidRDefault="0039351C">
      <w:r>
        <w:rPr>
          <w:b/>
        </w:rPr>
        <w:t xml:space="preserve">Evidence. </w:t>
      </w:r>
      <w:r>
        <w:t>Combined production, release, groundwater transport, diffusion, phase separation, structural geology and trapping into quantitative models tested across North America, Africa and Brazil.</w:t>
      </w:r>
    </w:p>
    <w:p w14:paraId="34A93A51" w14:textId="77777777" w:rsidR="00BB53D8" w:rsidRDefault="0039351C">
      <w:r>
        <w:rPr>
          <w:b/>
        </w:rPr>
        <w:t xml:space="preserve">Lasting consequence. </w:t>
      </w:r>
      <w:r>
        <w:t>Moved helium and hydrogen from occurrence-led exploration towards a process-based systems approach. This underpinned the first deliberate exploration for primary helium, new models of N₂–He field formation, and a general framework for natural-hydrogen resource accumulation.</w:t>
      </w:r>
    </w:p>
    <w:p w14:paraId="5B2EF6D6" w14:textId="77777777" w:rsidR="00BB53D8" w:rsidRDefault="0039351C">
      <w:pPr>
        <w:pStyle w:val="Heading2"/>
      </w:pPr>
      <w:r>
        <w:t>6  Quantifying geological CO₂ storage and transformation</w:t>
      </w:r>
    </w:p>
    <w:p w14:paraId="33C05F89" w14:textId="77777777" w:rsidR="00BB53D8" w:rsidRDefault="0039351C">
      <w:r>
        <w:rPr>
          <w:b/>
        </w:rPr>
        <w:t xml:space="preserve">Discovery and originality. </w:t>
      </w:r>
      <w:r>
        <w:t>Created noble-gas methods that quantify groundwater contact, phase exchange and fluid migration in natural and engineered CO₂ systems.</w:t>
      </w:r>
    </w:p>
    <w:p w14:paraId="761DE4E8" w14:textId="77777777" w:rsidR="00BB53D8" w:rsidRDefault="0039351C">
      <w:r>
        <w:rPr>
          <w:b/>
        </w:rPr>
        <w:t xml:space="preserve">Evidence. </w:t>
      </w:r>
      <w:r>
        <w:t>Work on natural reservoirs showed that dissolution into formation water—not mineral precipitation—was the dominant CO₂ sink, contrary to the prevailing IPCC model; later work revealed rapid microbial conversion of CO₂ to methane in a depleted hydrocarbon reservoir.</w:t>
      </w:r>
    </w:p>
    <w:p w14:paraId="73E385D3" w14:textId="77777777" w:rsidR="00BB53D8" w:rsidRDefault="0039351C">
      <w:r>
        <w:rPr>
          <w:b/>
        </w:rPr>
        <w:t xml:space="preserve">Lasting consequence. </w:t>
      </w:r>
      <w:r>
        <w:t>Changed the evidence base used to assess storage security and identified methanogenesis as a material risk for scaled CCS. The same framework now supports groundwater protection and attribution of impacts from historical oil and gas production.</w:t>
      </w:r>
    </w:p>
    <w:p w14:paraId="7A91DF11" w14:textId="77777777" w:rsidR="00BB53D8" w:rsidRDefault="0039351C">
      <w:pPr>
        <w:pStyle w:val="Heading1"/>
      </w:pPr>
      <w:r>
        <w:t>Analytical and methodological legacy</w:t>
      </w:r>
    </w:p>
    <w:p w14:paraId="49279346" w14:textId="77777777" w:rsidR="00BB53D8" w:rsidRDefault="0039351C">
      <w:r>
        <w:t>Ballentine advanced static-sector and multi-collector noble-gas mass spectrometry, delivering order-of-magnitude improvements for key isotope measurements. More importantly, he built the interpretive framework that turns the 23 stable noble-gas isotopes into quantitative measures of source, time, transport and mass balance. Laboratories in academia, government and industry now apply methods founded on this work.</w:t>
      </w:r>
    </w:p>
    <w:p w14:paraId="0E49C743" w14:textId="77777777" w:rsidR="00BB53D8" w:rsidRDefault="0039351C">
      <w:pPr>
        <w:pStyle w:val="Heading1"/>
      </w:pPr>
      <w:r>
        <w:t>Translation beyond academia</w:t>
      </w:r>
    </w:p>
    <w:p w14:paraId="3F6E1F38" w14:textId="182A52BB" w:rsidR="00BB53D8" w:rsidRDefault="0039351C">
      <w:r>
        <w:t>Major collaborations include NWMO, Total, USGS, ExxonMobil, BP and other energy companies. Ballentine founded Snowfox Discovery and Global Helium and has advised Hotspur Helium, Noble Helium, Green Helium and Helium One. The same science has progressed from fundamental discovery to industrial exploration, groundwater protection, CCS risk reduction and nuclear-waste safety.</w:t>
      </w:r>
    </w:p>
    <w:p w14:paraId="7EB084ED" w14:textId="77777777" w:rsidR="00BB53D8" w:rsidRDefault="0039351C">
      <w:r>
        <w:br w:type="page"/>
      </w:r>
    </w:p>
    <w:p w14:paraId="54E87347" w14:textId="77777777" w:rsidR="00BB53D8" w:rsidRDefault="0039351C">
      <w:pPr>
        <w:pStyle w:val="Heading1"/>
      </w:pPr>
      <w:r>
        <w:lastRenderedPageBreak/>
        <w:t>Leadership and field building</w:t>
      </w:r>
    </w:p>
    <w:p w14:paraId="749B5C4E" w14:textId="77777777" w:rsidR="00BB53D8" w:rsidRDefault="0039351C">
      <w:pPr>
        <w:pStyle w:val="Heading2"/>
      </w:pPr>
      <w:r>
        <w:t>Head of Oxford Earth Sciences  2017–2022</w:t>
      </w:r>
    </w:p>
    <w:p w14:paraId="073123A9" w14:textId="77777777" w:rsidR="00BB53D8" w:rsidRDefault="0039351C">
      <w:pPr>
        <w:spacing w:after="60"/>
        <w:ind w:left="259" w:hanging="202"/>
      </w:pPr>
      <w:r>
        <w:rPr>
          <w:b/>
        </w:rPr>
        <w:t xml:space="preserve">•  </w:t>
      </w:r>
      <w:r>
        <w:t>Led approximately 27 faculty, 120 undergraduates, 60 graduate students, 60 postdoctoral researchers and 30 professional-services staff through substantial institutional and academic change.</w:t>
      </w:r>
    </w:p>
    <w:p w14:paraId="0331BFAC" w14:textId="77777777" w:rsidR="00BB53D8" w:rsidRDefault="0039351C">
      <w:pPr>
        <w:spacing w:after="60"/>
        <w:ind w:left="259" w:hanging="202"/>
      </w:pPr>
      <w:r>
        <w:rPr>
          <w:b/>
        </w:rPr>
        <w:t xml:space="preserve">•  </w:t>
      </w:r>
      <w:r>
        <w:t>Recruited 12 of 27 faculty, using the opportunity to reshape the department’s scientific direction; commissioned curriculum renewal to reflect Earth science’s changing societal role and lessons from pandemic teaching.</w:t>
      </w:r>
    </w:p>
    <w:p w14:paraId="2692E295" w14:textId="169F65BA" w:rsidR="00BB53D8" w:rsidRDefault="0039351C">
      <w:pPr>
        <w:spacing w:after="60"/>
        <w:ind w:left="259" w:hanging="202"/>
      </w:pPr>
      <w:r>
        <w:rPr>
          <w:b/>
        </w:rPr>
        <w:t xml:space="preserve">•  </w:t>
      </w:r>
      <w:r>
        <w:t xml:space="preserve">Oversaw movement towards gender balance in undergraduate, postgraduate and faculty recruitment. Oxford Earth Sciences </w:t>
      </w:r>
      <w:r w:rsidR="0055023F">
        <w:t>is now</w:t>
      </w:r>
      <w:r>
        <w:t xml:space="preserve"> ranked second in the world by QS.</w:t>
      </w:r>
    </w:p>
    <w:p w14:paraId="6C0B3157" w14:textId="77777777" w:rsidR="00BB53D8" w:rsidRDefault="0039351C">
      <w:pPr>
        <w:pStyle w:val="Heading2"/>
      </w:pPr>
      <w:r>
        <w:t>International scientific leadership</w:t>
      </w:r>
    </w:p>
    <w:tbl>
      <w:tblPr>
        <w:tblW w:w="0" w:type="auto"/>
        <w:jc w:val="center"/>
        <w:tblLayout w:type="fixed"/>
        <w:tblLook w:val="04A0" w:firstRow="1" w:lastRow="0" w:firstColumn="1" w:lastColumn="0" w:noHBand="0" w:noVBand="1"/>
      </w:tblPr>
      <w:tblGrid>
        <w:gridCol w:w="1584"/>
        <w:gridCol w:w="8352"/>
      </w:tblGrid>
      <w:tr w:rsidR="00BB53D8" w14:paraId="0E74A284" w14:textId="77777777">
        <w:trPr>
          <w:jc w:val="center"/>
        </w:trPr>
        <w:tc>
          <w:tcPr>
            <w:tcW w:w="1584" w:type="dxa"/>
            <w:tcMar>
              <w:top w:w="45" w:type="dxa"/>
              <w:left w:w="65" w:type="dxa"/>
              <w:bottom w:w="45" w:type="dxa"/>
              <w:right w:w="65" w:type="dxa"/>
            </w:tcMar>
          </w:tcPr>
          <w:p w14:paraId="0470C4D4" w14:textId="77777777" w:rsidR="00BB53D8" w:rsidRDefault="0039351C">
            <w:pPr>
              <w:pStyle w:val="Timelineyear"/>
            </w:pPr>
            <w:r>
              <w:t>2017–2020</w:t>
            </w:r>
          </w:p>
        </w:tc>
        <w:tc>
          <w:tcPr>
            <w:tcW w:w="8352" w:type="dxa"/>
            <w:tcMar>
              <w:top w:w="45" w:type="dxa"/>
              <w:left w:w="65" w:type="dxa"/>
              <w:bottom w:w="45" w:type="dxa"/>
              <w:right w:w="65" w:type="dxa"/>
            </w:tcMar>
          </w:tcPr>
          <w:p w14:paraId="753BB3FB" w14:textId="77777777" w:rsidR="00BB53D8" w:rsidRDefault="0039351C">
            <w:pPr>
              <w:pStyle w:val="Timelinetext"/>
            </w:pPr>
            <w:r>
              <w:t>Elected Director, American Geophysical Union Board, representing a global organisation of approximately 65,000 members.</w:t>
            </w:r>
          </w:p>
        </w:tc>
      </w:tr>
      <w:tr w:rsidR="00BB53D8" w14:paraId="6A93C83E" w14:textId="77777777">
        <w:trPr>
          <w:jc w:val="center"/>
        </w:trPr>
        <w:tc>
          <w:tcPr>
            <w:tcW w:w="1584" w:type="dxa"/>
            <w:tcMar>
              <w:top w:w="45" w:type="dxa"/>
              <w:left w:w="65" w:type="dxa"/>
              <w:bottom w:w="45" w:type="dxa"/>
              <w:right w:w="65" w:type="dxa"/>
            </w:tcMar>
          </w:tcPr>
          <w:p w14:paraId="2B8B5F05" w14:textId="77777777" w:rsidR="00BB53D8" w:rsidRDefault="0039351C">
            <w:pPr>
              <w:pStyle w:val="Timelineyear"/>
            </w:pPr>
            <w:r>
              <w:t>2011–2016</w:t>
            </w:r>
          </w:p>
        </w:tc>
        <w:tc>
          <w:tcPr>
            <w:tcW w:w="8352" w:type="dxa"/>
            <w:tcMar>
              <w:top w:w="45" w:type="dxa"/>
              <w:left w:w="65" w:type="dxa"/>
              <w:bottom w:w="45" w:type="dxa"/>
              <w:right w:w="65" w:type="dxa"/>
            </w:tcMar>
          </w:tcPr>
          <w:p w14:paraId="1CC91E15" w14:textId="77777777" w:rsidR="00BB53D8" w:rsidRDefault="0039351C">
            <w:pPr>
              <w:pStyle w:val="Timelinetext"/>
            </w:pPr>
            <w:r>
              <w:t>Vice President, President and Past President, European Association of Geochemistry. Helped grow membership from fewer than 100 to more than 3,000 and formal partnerships from one to 12 societies.</w:t>
            </w:r>
          </w:p>
        </w:tc>
      </w:tr>
      <w:tr w:rsidR="00BB53D8" w14:paraId="31FC47DE" w14:textId="77777777">
        <w:trPr>
          <w:jc w:val="center"/>
        </w:trPr>
        <w:tc>
          <w:tcPr>
            <w:tcW w:w="1584" w:type="dxa"/>
            <w:tcMar>
              <w:top w:w="45" w:type="dxa"/>
              <w:left w:w="65" w:type="dxa"/>
              <w:bottom w:w="45" w:type="dxa"/>
              <w:right w:w="65" w:type="dxa"/>
            </w:tcMar>
          </w:tcPr>
          <w:p w14:paraId="4275F0B4" w14:textId="77777777" w:rsidR="00BB53D8" w:rsidRDefault="0039351C">
            <w:pPr>
              <w:pStyle w:val="Timelineyear"/>
            </w:pPr>
            <w:r>
              <w:t>2007–2013</w:t>
            </w:r>
          </w:p>
        </w:tc>
        <w:tc>
          <w:tcPr>
            <w:tcW w:w="8352" w:type="dxa"/>
            <w:tcMar>
              <w:top w:w="45" w:type="dxa"/>
              <w:left w:w="65" w:type="dxa"/>
              <w:bottom w:w="45" w:type="dxa"/>
              <w:right w:w="65" w:type="dxa"/>
            </w:tcMar>
          </w:tcPr>
          <w:p w14:paraId="419FFEBC" w14:textId="77777777" w:rsidR="00BB53D8" w:rsidRDefault="0039351C">
            <w:pPr>
              <w:pStyle w:val="Timelinetext"/>
            </w:pPr>
            <w:r>
              <w:t>Restructured governance and finance of the European Goldschmidt Conference with the Geochemical Society; European attendance grew from about 2,000 to more than 4,000, creating the income base for a permanent EAG office and wider programmes.</w:t>
            </w:r>
          </w:p>
        </w:tc>
      </w:tr>
      <w:tr w:rsidR="00BB53D8" w14:paraId="147134BB" w14:textId="77777777">
        <w:trPr>
          <w:jc w:val="center"/>
        </w:trPr>
        <w:tc>
          <w:tcPr>
            <w:tcW w:w="1584" w:type="dxa"/>
            <w:tcMar>
              <w:top w:w="45" w:type="dxa"/>
              <w:left w:w="65" w:type="dxa"/>
              <w:bottom w:w="45" w:type="dxa"/>
              <w:right w:w="65" w:type="dxa"/>
            </w:tcMar>
          </w:tcPr>
          <w:p w14:paraId="365DD3C2" w14:textId="77777777" w:rsidR="00BB53D8" w:rsidRDefault="0039351C">
            <w:pPr>
              <w:pStyle w:val="Timelineyear"/>
            </w:pPr>
            <w:r>
              <w:t>2011–2013</w:t>
            </w:r>
          </w:p>
        </w:tc>
        <w:tc>
          <w:tcPr>
            <w:tcW w:w="8352" w:type="dxa"/>
            <w:tcMar>
              <w:top w:w="45" w:type="dxa"/>
              <w:left w:w="65" w:type="dxa"/>
              <w:bottom w:w="45" w:type="dxa"/>
              <w:right w:w="65" w:type="dxa"/>
            </w:tcMar>
          </w:tcPr>
          <w:p w14:paraId="48919796" w14:textId="77777777" w:rsidR="00BB53D8" w:rsidRDefault="0039351C">
            <w:pPr>
              <w:pStyle w:val="Timelinetext"/>
            </w:pPr>
            <w:r>
              <w:t>Founding Co-Director, Deep Energy Directorate, Deep Carbon Observatory.</w:t>
            </w:r>
          </w:p>
        </w:tc>
      </w:tr>
      <w:tr w:rsidR="00BB53D8" w14:paraId="15E31EDD" w14:textId="77777777">
        <w:trPr>
          <w:jc w:val="center"/>
        </w:trPr>
        <w:tc>
          <w:tcPr>
            <w:tcW w:w="1584" w:type="dxa"/>
            <w:tcMar>
              <w:top w:w="45" w:type="dxa"/>
              <w:left w:w="65" w:type="dxa"/>
              <w:bottom w:w="45" w:type="dxa"/>
              <w:right w:w="65" w:type="dxa"/>
            </w:tcMar>
          </w:tcPr>
          <w:p w14:paraId="5600983D" w14:textId="77777777" w:rsidR="00BB53D8" w:rsidRDefault="0039351C">
            <w:pPr>
              <w:pStyle w:val="Timelineyear"/>
            </w:pPr>
            <w:r>
              <w:t>2017–2022</w:t>
            </w:r>
          </w:p>
        </w:tc>
        <w:tc>
          <w:tcPr>
            <w:tcW w:w="8352" w:type="dxa"/>
            <w:tcMar>
              <w:top w:w="45" w:type="dxa"/>
              <w:left w:w="65" w:type="dxa"/>
              <w:bottom w:w="45" w:type="dxa"/>
              <w:right w:w="65" w:type="dxa"/>
            </w:tcMar>
          </w:tcPr>
          <w:p w14:paraId="6FDD3FBD" w14:textId="77777777" w:rsidR="00BB53D8" w:rsidRDefault="0039351C">
            <w:pPr>
              <w:pStyle w:val="Timelinetext"/>
            </w:pPr>
            <w:r>
              <w:t>ERC Advanced Grant PE10 panel member.</w:t>
            </w:r>
          </w:p>
        </w:tc>
      </w:tr>
      <w:tr w:rsidR="00BB53D8" w14:paraId="1254C2AC" w14:textId="77777777">
        <w:trPr>
          <w:jc w:val="center"/>
        </w:trPr>
        <w:tc>
          <w:tcPr>
            <w:tcW w:w="1584" w:type="dxa"/>
            <w:tcMar>
              <w:top w:w="45" w:type="dxa"/>
              <w:left w:w="65" w:type="dxa"/>
              <w:bottom w:w="45" w:type="dxa"/>
              <w:right w:w="65" w:type="dxa"/>
            </w:tcMar>
          </w:tcPr>
          <w:p w14:paraId="4523B8A9" w14:textId="77777777" w:rsidR="00BB53D8" w:rsidRDefault="0039351C">
            <w:pPr>
              <w:pStyle w:val="Timelineyear"/>
            </w:pPr>
            <w:r>
              <w:t>2009; 2013</w:t>
            </w:r>
          </w:p>
        </w:tc>
        <w:tc>
          <w:tcPr>
            <w:tcW w:w="8352" w:type="dxa"/>
            <w:tcMar>
              <w:top w:w="45" w:type="dxa"/>
              <w:left w:w="65" w:type="dxa"/>
              <w:bottom w:w="45" w:type="dxa"/>
              <w:right w:w="65" w:type="dxa"/>
            </w:tcMar>
          </w:tcPr>
          <w:p w14:paraId="067003F7" w14:textId="77777777" w:rsidR="00BB53D8" w:rsidRDefault="0039351C">
            <w:pPr>
              <w:pStyle w:val="Timelinetext"/>
            </w:pPr>
            <w:r>
              <w:t>Chair, Goldschmidt Conference, Davos; Host and Co-Chair, Goldschmidt Conference, Florence.</w:t>
            </w:r>
          </w:p>
        </w:tc>
      </w:tr>
    </w:tbl>
    <w:p w14:paraId="58BCECD7" w14:textId="77777777" w:rsidR="00BB53D8" w:rsidRDefault="0039351C">
      <w:pPr>
        <w:pStyle w:val="Heading2"/>
      </w:pPr>
      <w:r>
        <w:t>Research leadership and people</w:t>
      </w:r>
    </w:p>
    <w:p w14:paraId="62D6E253" w14:textId="77777777" w:rsidR="00BB53D8" w:rsidRDefault="0039351C">
      <w:r>
        <w:t>Supervised 14 completed PhD researchers and five current DPhil researchers, and sponsored or mentored 18 postdoctoral researchers. Former group members now lead research across noble-gas geochemistry, deep fluids, helium and hydrogen resources, CCS and planetary science. Many landmark papers are led by these researchers, demonstrating a sustained record of creating independent scientific leaders.</w:t>
      </w:r>
    </w:p>
    <w:p w14:paraId="68B56B68" w14:textId="77777777" w:rsidR="00BB53D8" w:rsidRDefault="0039351C">
      <w:pPr>
        <w:pStyle w:val="Heading2"/>
      </w:pPr>
      <w:r>
        <w:t>Research investment and strategic influence</w:t>
      </w:r>
    </w:p>
    <w:tbl>
      <w:tblPr>
        <w:tblW w:w="0" w:type="auto"/>
        <w:jc w:val="center"/>
        <w:tblLayout w:type="fixed"/>
        <w:tblLook w:val="04A0" w:firstRow="1" w:lastRow="0" w:firstColumn="1" w:lastColumn="0" w:noHBand="0" w:noVBand="1"/>
      </w:tblPr>
      <w:tblGrid>
        <w:gridCol w:w="1584"/>
        <w:gridCol w:w="8352"/>
      </w:tblGrid>
      <w:tr w:rsidR="00BB53D8" w14:paraId="30B3A3A3" w14:textId="77777777">
        <w:trPr>
          <w:jc w:val="center"/>
        </w:trPr>
        <w:tc>
          <w:tcPr>
            <w:tcW w:w="1584" w:type="dxa"/>
            <w:tcMar>
              <w:top w:w="45" w:type="dxa"/>
              <w:left w:w="65" w:type="dxa"/>
              <w:bottom w:w="45" w:type="dxa"/>
              <w:right w:w="65" w:type="dxa"/>
            </w:tcMar>
          </w:tcPr>
          <w:p w14:paraId="12E66C25" w14:textId="77777777" w:rsidR="00BB53D8" w:rsidRDefault="0039351C">
            <w:pPr>
              <w:pStyle w:val="Timelineyear"/>
            </w:pPr>
            <w:r>
              <w:t>2012</w:t>
            </w:r>
          </w:p>
        </w:tc>
        <w:tc>
          <w:tcPr>
            <w:tcW w:w="8352" w:type="dxa"/>
            <w:tcMar>
              <w:top w:w="45" w:type="dxa"/>
              <w:left w:w="65" w:type="dxa"/>
              <w:bottom w:w="45" w:type="dxa"/>
              <w:right w:w="65" w:type="dxa"/>
            </w:tcMar>
          </w:tcPr>
          <w:p w14:paraId="2CCF887B" w14:textId="77777777" w:rsidR="00BB53D8" w:rsidRDefault="0039351C">
            <w:pPr>
              <w:pStyle w:val="Timelinetext"/>
            </w:pPr>
            <w:r>
              <w:t>ERC Advanced Grant, NOBLE, €2.7 million.</w:t>
            </w:r>
          </w:p>
        </w:tc>
      </w:tr>
      <w:tr w:rsidR="00BB53D8" w14:paraId="3AC47B6B" w14:textId="77777777">
        <w:trPr>
          <w:jc w:val="center"/>
        </w:trPr>
        <w:tc>
          <w:tcPr>
            <w:tcW w:w="1584" w:type="dxa"/>
            <w:tcMar>
              <w:top w:w="45" w:type="dxa"/>
              <w:left w:w="65" w:type="dxa"/>
              <w:bottom w:w="45" w:type="dxa"/>
              <w:right w:w="65" w:type="dxa"/>
            </w:tcMar>
          </w:tcPr>
          <w:p w14:paraId="76996C98" w14:textId="77777777" w:rsidR="00BB53D8" w:rsidRDefault="0039351C">
            <w:pPr>
              <w:pStyle w:val="Timelineyear"/>
            </w:pPr>
            <w:r>
              <w:t>2014</w:t>
            </w:r>
          </w:p>
        </w:tc>
        <w:tc>
          <w:tcPr>
            <w:tcW w:w="8352" w:type="dxa"/>
            <w:tcMar>
              <w:top w:w="45" w:type="dxa"/>
              <w:left w:w="65" w:type="dxa"/>
              <w:bottom w:w="45" w:type="dxa"/>
              <w:right w:w="65" w:type="dxa"/>
            </w:tcMar>
          </w:tcPr>
          <w:p w14:paraId="76E7EEE3" w14:textId="77777777" w:rsidR="00BB53D8" w:rsidRDefault="0039351C">
            <w:pPr>
              <w:pStyle w:val="Timelinetext"/>
            </w:pPr>
            <w:r>
              <w:t>NERC Mantle Volatiles Consortium, £2.5 million.</w:t>
            </w:r>
          </w:p>
        </w:tc>
      </w:tr>
      <w:tr w:rsidR="00BB53D8" w14:paraId="2A0BC4DC" w14:textId="77777777">
        <w:trPr>
          <w:jc w:val="center"/>
        </w:trPr>
        <w:tc>
          <w:tcPr>
            <w:tcW w:w="1584" w:type="dxa"/>
            <w:tcMar>
              <w:top w:w="45" w:type="dxa"/>
              <w:left w:w="65" w:type="dxa"/>
              <w:bottom w:w="45" w:type="dxa"/>
              <w:right w:w="65" w:type="dxa"/>
            </w:tcMar>
          </w:tcPr>
          <w:p w14:paraId="1EBF8294" w14:textId="77777777" w:rsidR="00BB53D8" w:rsidRDefault="0039351C">
            <w:pPr>
              <w:pStyle w:val="Timelineyear"/>
            </w:pPr>
            <w:r>
              <w:t>Career</w:t>
            </w:r>
          </w:p>
        </w:tc>
        <w:tc>
          <w:tcPr>
            <w:tcW w:w="8352" w:type="dxa"/>
            <w:tcMar>
              <w:top w:w="45" w:type="dxa"/>
              <w:left w:w="65" w:type="dxa"/>
              <w:bottom w:w="45" w:type="dxa"/>
              <w:right w:w="65" w:type="dxa"/>
            </w:tcMar>
          </w:tcPr>
          <w:p w14:paraId="34011EEA" w14:textId="77777777" w:rsidR="00BB53D8" w:rsidRDefault="0039351C">
            <w:pPr>
              <w:pStyle w:val="Timelinetext"/>
            </w:pPr>
            <w:r>
              <w:t>PI and Co-PI portfolio exceeding £20 million.</w:t>
            </w:r>
          </w:p>
        </w:tc>
      </w:tr>
      <w:tr w:rsidR="00BB53D8" w14:paraId="22BAB766" w14:textId="77777777">
        <w:trPr>
          <w:jc w:val="center"/>
        </w:trPr>
        <w:tc>
          <w:tcPr>
            <w:tcW w:w="1584" w:type="dxa"/>
            <w:tcMar>
              <w:top w:w="45" w:type="dxa"/>
              <w:left w:w="65" w:type="dxa"/>
              <w:bottom w:w="45" w:type="dxa"/>
              <w:right w:w="65" w:type="dxa"/>
            </w:tcMar>
          </w:tcPr>
          <w:p w14:paraId="208BFB33" w14:textId="77777777" w:rsidR="00BB53D8" w:rsidRDefault="0039351C">
            <w:pPr>
              <w:pStyle w:val="Timelineyear"/>
            </w:pPr>
            <w:r>
              <w:t>2010–2013</w:t>
            </w:r>
          </w:p>
        </w:tc>
        <w:tc>
          <w:tcPr>
            <w:tcW w:w="8352" w:type="dxa"/>
            <w:tcMar>
              <w:top w:w="45" w:type="dxa"/>
              <w:left w:w="65" w:type="dxa"/>
              <w:bottom w:w="45" w:type="dxa"/>
              <w:right w:w="65" w:type="dxa"/>
            </w:tcMar>
          </w:tcPr>
          <w:p w14:paraId="35308DBF" w14:textId="77777777" w:rsidR="00BB53D8" w:rsidRDefault="0039351C">
            <w:pPr>
              <w:pStyle w:val="Timelinetext"/>
            </w:pPr>
            <w:r>
              <w:t>Coordinated the case that led NERC to invest £8 million over five years in “Deep Earth volatiles and surface habitability”.</w:t>
            </w:r>
          </w:p>
        </w:tc>
      </w:tr>
    </w:tbl>
    <w:p w14:paraId="701A83D1" w14:textId="77777777" w:rsidR="00BB53D8" w:rsidRDefault="0039351C">
      <w:pPr>
        <w:pStyle w:val="Heading2"/>
      </w:pPr>
      <w:r>
        <w:t>Appointments and education</w:t>
      </w:r>
    </w:p>
    <w:tbl>
      <w:tblPr>
        <w:tblW w:w="0" w:type="auto"/>
        <w:jc w:val="center"/>
        <w:tblLayout w:type="fixed"/>
        <w:tblLook w:val="04A0" w:firstRow="1" w:lastRow="0" w:firstColumn="1" w:lastColumn="0" w:noHBand="0" w:noVBand="1"/>
      </w:tblPr>
      <w:tblGrid>
        <w:gridCol w:w="1584"/>
        <w:gridCol w:w="8352"/>
      </w:tblGrid>
      <w:tr w:rsidR="00BB53D8" w14:paraId="3614F241" w14:textId="77777777">
        <w:trPr>
          <w:jc w:val="center"/>
        </w:trPr>
        <w:tc>
          <w:tcPr>
            <w:tcW w:w="1584" w:type="dxa"/>
            <w:tcMar>
              <w:top w:w="45" w:type="dxa"/>
              <w:left w:w="65" w:type="dxa"/>
              <w:bottom w:w="45" w:type="dxa"/>
              <w:right w:w="65" w:type="dxa"/>
            </w:tcMar>
          </w:tcPr>
          <w:p w14:paraId="443FD8DE" w14:textId="77777777" w:rsidR="00BB53D8" w:rsidRDefault="0039351C">
            <w:pPr>
              <w:pStyle w:val="Timelineyear"/>
            </w:pPr>
            <w:r>
              <w:t>2013–</w:t>
            </w:r>
          </w:p>
        </w:tc>
        <w:tc>
          <w:tcPr>
            <w:tcW w:w="8352" w:type="dxa"/>
            <w:tcMar>
              <w:top w:w="45" w:type="dxa"/>
              <w:left w:w="65" w:type="dxa"/>
              <w:bottom w:w="45" w:type="dxa"/>
              <w:right w:w="65" w:type="dxa"/>
            </w:tcMar>
          </w:tcPr>
          <w:p w14:paraId="606FA4DF" w14:textId="77777777" w:rsidR="00BB53D8" w:rsidRDefault="0039351C">
            <w:pPr>
              <w:pStyle w:val="Timelinetext"/>
            </w:pPr>
            <w:r>
              <w:t>Statutory Professor of Geochemistry, University of Oxford.</w:t>
            </w:r>
          </w:p>
        </w:tc>
      </w:tr>
      <w:tr w:rsidR="00BB53D8" w14:paraId="7FBBFC98" w14:textId="77777777">
        <w:trPr>
          <w:jc w:val="center"/>
        </w:trPr>
        <w:tc>
          <w:tcPr>
            <w:tcW w:w="1584" w:type="dxa"/>
            <w:tcMar>
              <w:top w:w="45" w:type="dxa"/>
              <w:left w:w="65" w:type="dxa"/>
              <w:bottom w:w="45" w:type="dxa"/>
              <w:right w:w="65" w:type="dxa"/>
            </w:tcMar>
          </w:tcPr>
          <w:p w14:paraId="5C9E6906" w14:textId="77777777" w:rsidR="00BB53D8" w:rsidRDefault="0039351C">
            <w:pPr>
              <w:pStyle w:val="Timelineyear"/>
            </w:pPr>
            <w:r>
              <w:t>2005–2013</w:t>
            </w:r>
          </w:p>
        </w:tc>
        <w:tc>
          <w:tcPr>
            <w:tcW w:w="8352" w:type="dxa"/>
            <w:tcMar>
              <w:top w:w="45" w:type="dxa"/>
              <w:left w:w="65" w:type="dxa"/>
              <w:bottom w:w="45" w:type="dxa"/>
              <w:right w:w="65" w:type="dxa"/>
            </w:tcMar>
          </w:tcPr>
          <w:p w14:paraId="442FFAF9" w14:textId="77777777" w:rsidR="00BB53D8" w:rsidRDefault="0039351C">
            <w:pPr>
              <w:pStyle w:val="Timelinetext"/>
            </w:pPr>
            <w:r>
              <w:t>Professor of Isotope Geochemistry, University of Manchester.</w:t>
            </w:r>
          </w:p>
        </w:tc>
      </w:tr>
      <w:tr w:rsidR="00BB53D8" w14:paraId="41CF89A3" w14:textId="77777777">
        <w:trPr>
          <w:jc w:val="center"/>
        </w:trPr>
        <w:tc>
          <w:tcPr>
            <w:tcW w:w="1584" w:type="dxa"/>
            <w:tcMar>
              <w:top w:w="45" w:type="dxa"/>
              <w:left w:w="65" w:type="dxa"/>
              <w:bottom w:w="45" w:type="dxa"/>
              <w:right w:w="65" w:type="dxa"/>
            </w:tcMar>
          </w:tcPr>
          <w:p w14:paraId="69D640C3" w14:textId="77777777" w:rsidR="00BB53D8" w:rsidRDefault="0039351C">
            <w:pPr>
              <w:pStyle w:val="Timelineyear"/>
            </w:pPr>
            <w:r>
              <w:t>1999–2001</w:t>
            </w:r>
          </w:p>
        </w:tc>
        <w:tc>
          <w:tcPr>
            <w:tcW w:w="8352" w:type="dxa"/>
            <w:tcMar>
              <w:top w:w="45" w:type="dxa"/>
              <w:left w:w="65" w:type="dxa"/>
              <w:bottom w:w="45" w:type="dxa"/>
              <w:right w:w="65" w:type="dxa"/>
            </w:tcMar>
          </w:tcPr>
          <w:p w14:paraId="5B7F6842" w14:textId="77777777" w:rsidR="00BB53D8" w:rsidRDefault="0039351C">
            <w:pPr>
              <w:pStyle w:val="Timelinetext"/>
            </w:pPr>
            <w:r>
              <w:t>Research Scientist, ETH Zürich.</w:t>
            </w:r>
          </w:p>
        </w:tc>
      </w:tr>
      <w:tr w:rsidR="00BB53D8" w14:paraId="7F3D1B05" w14:textId="77777777">
        <w:trPr>
          <w:jc w:val="center"/>
        </w:trPr>
        <w:tc>
          <w:tcPr>
            <w:tcW w:w="1584" w:type="dxa"/>
            <w:tcMar>
              <w:top w:w="45" w:type="dxa"/>
              <w:left w:w="65" w:type="dxa"/>
              <w:bottom w:w="45" w:type="dxa"/>
              <w:right w:w="65" w:type="dxa"/>
            </w:tcMar>
          </w:tcPr>
          <w:p w14:paraId="51E00E00" w14:textId="77777777" w:rsidR="00BB53D8" w:rsidRDefault="0039351C">
            <w:pPr>
              <w:pStyle w:val="Timelineyear"/>
            </w:pPr>
            <w:r>
              <w:t>1994–1998</w:t>
            </w:r>
          </w:p>
        </w:tc>
        <w:tc>
          <w:tcPr>
            <w:tcW w:w="8352" w:type="dxa"/>
            <w:tcMar>
              <w:top w:w="45" w:type="dxa"/>
              <w:left w:w="65" w:type="dxa"/>
              <w:bottom w:w="45" w:type="dxa"/>
              <w:right w:w="65" w:type="dxa"/>
            </w:tcMar>
          </w:tcPr>
          <w:p w14:paraId="1B860366" w14:textId="77777777" w:rsidR="00BB53D8" w:rsidRDefault="0039351C">
            <w:pPr>
              <w:pStyle w:val="Timelinetext"/>
            </w:pPr>
            <w:r>
              <w:t>Research Faculty, University of Michigan.</w:t>
            </w:r>
          </w:p>
        </w:tc>
      </w:tr>
      <w:tr w:rsidR="00BB53D8" w14:paraId="4C8DF146" w14:textId="77777777">
        <w:trPr>
          <w:jc w:val="center"/>
        </w:trPr>
        <w:tc>
          <w:tcPr>
            <w:tcW w:w="1584" w:type="dxa"/>
            <w:tcMar>
              <w:top w:w="45" w:type="dxa"/>
              <w:left w:w="65" w:type="dxa"/>
              <w:bottom w:w="45" w:type="dxa"/>
              <w:right w:w="65" w:type="dxa"/>
            </w:tcMar>
          </w:tcPr>
          <w:p w14:paraId="66428D25" w14:textId="77777777" w:rsidR="00BB53D8" w:rsidRDefault="0039351C">
            <w:pPr>
              <w:pStyle w:val="Timelineyear"/>
            </w:pPr>
            <w:r>
              <w:t>1993–1994</w:t>
            </w:r>
          </w:p>
        </w:tc>
        <w:tc>
          <w:tcPr>
            <w:tcW w:w="8352" w:type="dxa"/>
            <w:tcMar>
              <w:top w:w="45" w:type="dxa"/>
              <w:left w:w="65" w:type="dxa"/>
              <w:bottom w:w="45" w:type="dxa"/>
              <w:right w:w="65" w:type="dxa"/>
            </w:tcMar>
          </w:tcPr>
          <w:p w14:paraId="222DA7E0" w14:textId="77777777" w:rsidR="00BB53D8" w:rsidRDefault="0039351C">
            <w:pPr>
              <w:pStyle w:val="Timelinetext"/>
            </w:pPr>
            <w:r>
              <w:t>Staff Scientist, Paul Scherrer Institut.</w:t>
            </w:r>
          </w:p>
        </w:tc>
      </w:tr>
      <w:tr w:rsidR="00BB53D8" w14:paraId="5FAD2EB5" w14:textId="77777777">
        <w:trPr>
          <w:jc w:val="center"/>
        </w:trPr>
        <w:tc>
          <w:tcPr>
            <w:tcW w:w="1584" w:type="dxa"/>
            <w:tcMar>
              <w:top w:w="45" w:type="dxa"/>
              <w:left w:w="65" w:type="dxa"/>
              <w:bottom w:w="45" w:type="dxa"/>
              <w:right w:w="65" w:type="dxa"/>
            </w:tcMar>
          </w:tcPr>
          <w:p w14:paraId="7C6DED68" w14:textId="77777777" w:rsidR="00BB53D8" w:rsidRDefault="0039351C">
            <w:pPr>
              <w:pStyle w:val="Timelineyear"/>
            </w:pPr>
            <w:r>
              <w:t>1991–1992</w:t>
            </w:r>
          </w:p>
        </w:tc>
        <w:tc>
          <w:tcPr>
            <w:tcW w:w="8352" w:type="dxa"/>
            <w:tcMar>
              <w:top w:w="45" w:type="dxa"/>
              <w:left w:w="65" w:type="dxa"/>
              <w:bottom w:w="45" w:type="dxa"/>
              <w:right w:w="65" w:type="dxa"/>
            </w:tcMar>
          </w:tcPr>
          <w:p w14:paraId="2039ACF6" w14:textId="77777777" w:rsidR="00BB53D8" w:rsidRDefault="0039351C">
            <w:pPr>
              <w:pStyle w:val="Timelinetext"/>
            </w:pPr>
            <w:r>
              <w:t>Postdoctoral Research Associate, University of Cambridge.</w:t>
            </w:r>
          </w:p>
        </w:tc>
      </w:tr>
      <w:tr w:rsidR="00BB53D8" w14:paraId="6F5CD777" w14:textId="77777777">
        <w:trPr>
          <w:jc w:val="center"/>
        </w:trPr>
        <w:tc>
          <w:tcPr>
            <w:tcW w:w="1584" w:type="dxa"/>
            <w:tcMar>
              <w:top w:w="45" w:type="dxa"/>
              <w:left w:w="65" w:type="dxa"/>
              <w:bottom w:w="45" w:type="dxa"/>
              <w:right w:w="65" w:type="dxa"/>
            </w:tcMar>
          </w:tcPr>
          <w:p w14:paraId="11E5D1B0" w14:textId="77777777" w:rsidR="00BB53D8" w:rsidRDefault="0039351C">
            <w:pPr>
              <w:pStyle w:val="Timelineyear"/>
            </w:pPr>
            <w:r>
              <w:t>1991</w:t>
            </w:r>
          </w:p>
        </w:tc>
        <w:tc>
          <w:tcPr>
            <w:tcW w:w="8352" w:type="dxa"/>
            <w:tcMar>
              <w:top w:w="45" w:type="dxa"/>
              <w:left w:w="65" w:type="dxa"/>
              <w:bottom w:w="45" w:type="dxa"/>
              <w:right w:w="65" w:type="dxa"/>
            </w:tcMar>
          </w:tcPr>
          <w:p w14:paraId="38AA110C" w14:textId="77777777" w:rsidR="00BB53D8" w:rsidRDefault="0039351C">
            <w:pPr>
              <w:pStyle w:val="Timelinetext"/>
            </w:pPr>
            <w:r>
              <w:t>PhD, Isotope Geochemistry, University of Cambridge.</w:t>
            </w:r>
          </w:p>
        </w:tc>
      </w:tr>
      <w:tr w:rsidR="00BB53D8" w14:paraId="3B06EF06" w14:textId="77777777">
        <w:trPr>
          <w:jc w:val="center"/>
        </w:trPr>
        <w:tc>
          <w:tcPr>
            <w:tcW w:w="1584" w:type="dxa"/>
            <w:tcMar>
              <w:top w:w="45" w:type="dxa"/>
              <w:left w:w="65" w:type="dxa"/>
              <w:bottom w:w="45" w:type="dxa"/>
              <w:right w:w="65" w:type="dxa"/>
            </w:tcMar>
          </w:tcPr>
          <w:p w14:paraId="57C2F5D4" w14:textId="77777777" w:rsidR="00BB53D8" w:rsidRDefault="0039351C">
            <w:pPr>
              <w:pStyle w:val="Timelineyear"/>
            </w:pPr>
            <w:r>
              <w:t>1983</w:t>
            </w:r>
          </w:p>
        </w:tc>
        <w:tc>
          <w:tcPr>
            <w:tcW w:w="8352" w:type="dxa"/>
            <w:tcMar>
              <w:top w:w="45" w:type="dxa"/>
              <w:left w:w="65" w:type="dxa"/>
              <w:bottom w:w="45" w:type="dxa"/>
              <w:right w:w="65" w:type="dxa"/>
            </w:tcMar>
          </w:tcPr>
          <w:p w14:paraId="6D5D9AC2" w14:textId="77777777" w:rsidR="00BB53D8" w:rsidRDefault="0039351C">
            <w:pPr>
              <w:pStyle w:val="Timelinetext"/>
            </w:pPr>
            <w:r>
              <w:t>BSc, Physical Chemistry, UMIST.</w:t>
            </w:r>
          </w:p>
        </w:tc>
      </w:tr>
    </w:tbl>
    <w:p w14:paraId="140C9E69" w14:textId="77777777" w:rsidR="00BB53D8" w:rsidRDefault="0039351C">
      <w:r>
        <w:br w:type="page"/>
      </w:r>
    </w:p>
    <w:p w14:paraId="4325E4D5" w14:textId="77777777" w:rsidR="00BB53D8" w:rsidRDefault="0039351C">
      <w:pPr>
        <w:pStyle w:val="Heading1"/>
      </w:pPr>
      <w:r>
        <w:lastRenderedPageBreak/>
        <w:t>Selected landmark publications</w:t>
      </w:r>
    </w:p>
    <w:p w14:paraId="1FC88C2F" w14:textId="77777777" w:rsidR="00BB53D8" w:rsidRDefault="0039351C">
      <w:pPr>
        <w:pStyle w:val="Smallnote"/>
      </w:pPr>
      <w:r>
        <w:t>Ballentine is senior and/or joint senior author on all papers in this selection. An asterisk identifies a PhD student or postdoctoral researcher mentored or sponsored by Ballentine as PI.</w:t>
      </w:r>
    </w:p>
    <w:p w14:paraId="6BB6A184" w14:textId="77777777" w:rsidR="00BB53D8" w:rsidRDefault="0039351C">
      <w:pPr>
        <w:pStyle w:val="Publication"/>
      </w:pPr>
      <w:r>
        <w:t>Ballentine, C.J., Karolytė, R., Cheng, A., Sherwood Lollar, B., Gluyas, J. &amp; Daly, M.C. (2025). Natural hydrogen resource accumulation in the continental crust. Nature Reviews Earth &amp; Environment. doi:10.1038/s43017-025-00670-1.</w:t>
      </w:r>
    </w:p>
    <w:p w14:paraId="585F38DE" w14:textId="77777777" w:rsidR="00BB53D8" w:rsidRDefault="0039351C">
      <w:pPr>
        <w:pStyle w:val="Publication"/>
      </w:pPr>
      <w:r>
        <w:t>Cheng, A.*, Sherwood Lollar, B., Gluyas, J. &amp; Ballentine, C.J. (2023). Primary N₂–He gas field formation in intracratonic sedimentary basins. Nature 615, 94–99.</w:t>
      </w:r>
    </w:p>
    <w:p w14:paraId="5815767C" w14:textId="77777777" w:rsidR="00BB53D8" w:rsidRDefault="0039351C">
      <w:pPr>
        <w:pStyle w:val="Publication"/>
      </w:pPr>
      <w:r>
        <w:t>Tucker, J.M., van Keken, P.E. &amp; Ballentine, C.J. (2022). Earth’s missing argon paradox resolved by recycling of oceanic crust. Nature Geoscience 15, 85–90.</w:t>
      </w:r>
    </w:p>
    <w:p w14:paraId="4A6F6B15" w14:textId="77777777" w:rsidR="00BB53D8" w:rsidRDefault="0039351C">
      <w:pPr>
        <w:pStyle w:val="Publication"/>
      </w:pPr>
      <w:r>
        <w:t>Tyne, R.L.*, Barry, P.H., Lawson, M., Byrne, D.J.*, Warr, O., Xie, H., Hillegonds, D.J.* et al., Ballentine, C.J. (2021). Rapid microbial methanogenesis during CO₂ storage in hydrocarbon reservoirs. Nature 600, 670–674.</w:t>
      </w:r>
    </w:p>
    <w:p w14:paraId="2F6BDE05" w14:textId="77777777" w:rsidR="00BB53D8" w:rsidRDefault="0039351C">
      <w:pPr>
        <w:pStyle w:val="Publication"/>
      </w:pPr>
      <w:r>
        <w:t>Clay, P.L.*, Burgess, R., Busemann, H., Ruzié-Hamilton, L.*, Joachim, B.*, Day, J.M.D. &amp; Ballentine, C.J. (2017). Halogens in chondritic meteorites and terrestrial accretion. Nature 551, 614–618.</w:t>
      </w:r>
    </w:p>
    <w:p w14:paraId="5831340A" w14:textId="77777777" w:rsidR="00BB53D8" w:rsidRDefault="0039351C">
      <w:pPr>
        <w:pStyle w:val="Publication"/>
      </w:pPr>
      <w:r>
        <w:t>Sherwood Lollar, B., Onstott, T.C., Lacrampe-Couloume, G. &amp; Ballentine, C.J. (2014). The contribution of the Precambrian continental lithosphere to global H₂ production. Nature 516, 379–382.</w:t>
      </w:r>
    </w:p>
    <w:p w14:paraId="72A655BF" w14:textId="77777777" w:rsidR="00BB53D8" w:rsidRDefault="0039351C">
      <w:pPr>
        <w:pStyle w:val="Publication"/>
      </w:pPr>
      <w:r>
        <w:t>Holland, G.*, Sherwood Lollar, B., Li, L., Lacrampe-Couloume, G., Slater, G.F. &amp; Ballentine, C.J. (2013). Deep fracture fluids isolated in the crust since the Precambrian era. Nature 497, 357–360.</w:t>
      </w:r>
    </w:p>
    <w:p w14:paraId="723472B9" w14:textId="77777777" w:rsidR="00BB53D8" w:rsidRDefault="0039351C">
      <w:pPr>
        <w:pStyle w:val="Publication"/>
      </w:pPr>
      <w:r>
        <w:t>Holland, G.*, Cassidy, M. &amp; Ballentine, C.J. (2009). Meteorite krypton in Earth’s mantle suggests a late accretionary source for the atmosphere. Science 326, 1522–1525.</w:t>
      </w:r>
    </w:p>
    <w:p w14:paraId="61222A9A" w14:textId="77777777" w:rsidR="00BB53D8" w:rsidRDefault="0039351C">
      <w:pPr>
        <w:pStyle w:val="Publication"/>
      </w:pPr>
      <w:r>
        <w:t>Gilfillan, S.M.*, Sherwood Lollar, B., Holland, G.* et al. &amp; Ballentine, C.J. (2009). Solubility trapping in formation water as dominant CO₂ sink in natural gas fields. Nature 458, 614–618.</w:t>
      </w:r>
    </w:p>
    <w:p w14:paraId="76C93879" w14:textId="77777777" w:rsidR="00BB53D8" w:rsidRDefault="0039351C">
      <w:pPr>
        <w:pStyle w:val="Publication"/>
      </w:pPr>
      <w:r>
        <w:t>Holland, G.* &amp; Ballentine, C.J. (2006). Seawater subduction controls the heavy noble gas composition of the mantle. Nature 441, 186–191.</w:t>
      </w:r>
    </w:p>
    <w:p w14:paraId="208874B1" w14:textId="77777777" w:rsidR="00BB53D8" w:rsidRDefault="0039351C">
      <w:pPr>
        <w:pStyle w:val="Publication"/>
      </w:pPr>
      <w:r>
        <w:t>Ballentine, C.J., Marty, B., Sherwood Lollar, B. &amp; Cassidy, M. (2005). Neon isotopes constrain convection and volatile origin in the mantle. Nature 433, 33–38.</w:t>
      </w:r>
    </w:p>
    <w:p w14:paraId="2DF17229" w14:textId="77777777" w:rsidR="00BB53D8" w:rsidRDefault="0039351C">
      <w:pPr>
        <w:pStyle w:val="Publication"/>
      </w:pPr>
      <w:r>
        <w:t>Ballentine, C.J. &amp; Sherwood Lollar, B. (2002). Regional groundwater focusing of nitrogen and noble gases into the Hugoton–Panhandle giant gas field, USA. Geochimica et Cosmochimica Acta 66, 2483–2497.</w:t>
      </w:r>
    </w:p>
    <w:p w14:paraId="22B549CA" w14:textId="77777777" w:rsidR="00BB53D8" w:rsidRDefault="0039351C">
      <w:pPr>
        <w:pStyle w:val="Publication"/>
      </w:pPr>
      <w:r>
        <w:t>Ballentine, C.J., Schoell, M., Coleman, D. &amp; Cain, B.A. (2001). 300-Myr-old magmatic CO₂ in natural gases of the west Texas Permian Basin. Nature 409, 327–331.</w:t>
      </w:r>
    </w:p>
    <w:p w14:paraId="1FDC9B62" w14:textId="77777777" w:rsidR="00BB53D8" w:rsidRDefault="0039351C">
      <w:pPr>
        <w:pStyle w:val="Publication"/>
      </w:pPr>
      <w:r>
        <w:t>Ballentine, C.J., O’Nions, R.K., Oxburgh, E.R., Horváth, F. &amp; Deák, J. (1991). Rare gas constraints on hydrocarbon accumulation, crustal degassing and groundwater flow in the Pannonian Basin. Earth and Planetary Science Letters 105, 229–246.</w:t>
      </w:r>
    </w:p>
    <w:p w14:paraId="6D41BFA3" w14:textId="77777777" w:rsidR="00BB53D8" w:rsidRDefault="0039351C">
      <w:pPr>
        <w:pStyle w:val="Heading1"/>
      </w:pPr>
      <w:r>
        <w:t>Evidence of sustained scholarly influence</w:t>
      </w:r>
    </w:p>
    <w:p w14:paraId="0E61C388" w14:textId="32B09992" w:rsidR="00BB53D8" w:rsidRDefault="0039351C">
      <w:r>
        <w:t xml:space="preserve">Google Scholar recorded 14,512 citations in September 2026. </w:t>
      </w:r>
      <w:r w:rsidR="00502F26">
        <w:t>Publications ilustarte</w:t>
      </w:r>
      <w:r>
        <w:t xml:space="preserve"> more than three decades </w:t>
      </w:r>
      <w:r w:rsidR="00502F26">
        <w:t xml:space="preserve">of high level contributions </w:t>
      </w:r>
      <w:r>
        <w:t xml:space="preserve">and includes landmark papers in Nature, Science, Nature Geoscience, Nature Reviews Earth &amp; Environment, PNAS, Earth and Planetary Science Letters and Geochimica et Cosmochimica Acta. </w:t>
      </w:r>
    </w:p>
    <w:p w14:paraId="579700DC" w14:textId="77777777" w:rsidR="00BB53D8" w:rsidRDefault="0039351C">
      <w:r>
        <w:br w:type="page"/>
      </w:r>
    </w:p>
    <w:p w14:paraId="5708EA90" w14:textId="77777777" w:rsidR="00BB53D8" w:rsidRDefault="0039351C">
      <w:pPr>
        <w:pStyle w:val="Heading1"/>
      </w:pPr>
      <w:r>
        <w:lastRenderedPageBreak/>
        <w:t>Selected recent work and wider contribution</w:t>
      </w:r>
    </w:p>
    <w:p w14:paraId="0C1B6CB5" w14:textId="77777777" w:rsidR="00BB53D8" w:rsidRDefault="0039351C">
      <w:pPr>
        <w:pStyle w:val="Heading2"/>
      </w:pPr>
      <w:r>
        <w:t>Further publications demonstrating range and continuity</w:t>
      </w:r>
    </w:p>
    <w:p w14:paraId="13261FCB" w14:textId="77777777" w:rsidR="00BB53D8" w:rsidRDefault="0039351C">
      <w:pPr>
        <w:pStyle w:val="Publication"/>
      </w:pPr>
      <w:r>
        <w:t>Flude, S. et al. &amp; Ballentine, C.J. (2025). Generation, migration and accumulation of natural hydrogen and helium in the intracratonic São Francisco Basin, eastern Brazil. Geoenergy 3, geoenergy2024-042.</w:t>
      </w:r>
    </w:p>
    <w:p w14:paraId="389E5F86" w14:textId="77777777" w:rsidR="00BB53D8" w:rsidRDefault="0039351C">
      <w:pPr>
        <w:pStyle w:val="Publication"/>
      </w:pPr>
      <w:r>
        <w:t>Halford, D.T.* et al. &amp; Ballentine, C.J. (2024). Probabilistic determination of the role of faults and intrusions in helium-rich gas-field formation. Geochemistry, Geophysics, Geosystems 25, e2024GC011522.</w:t>
      </w:r>
    </w:p>
    <w:p w14:paraId="2EC37B09" w14:textId="77777777" w:rsidR="00BB53D8" w:rsidRDefault="0039351C">
      <w:pPr>
        <w:pStyle w:val="Publication"/>
      </w:pPr>
      <w:r>
        <w:t>Leong, J.A. et al. &amp; Ballentine, C.J. (2023). H₂ and CH₄ outgassing rates in the Samail ophiolite: implications for low-temperature continental serpentinization rates. Geochimica et Cosmochimica Acta 347, 1–15.</w:t>
      </w:r>
    </w:p>
    <w:p w14:paraId="1C53DC91" w14:textId="77777777" w:rsidR="00BB53D8" w:rsidRDefault="0039351C">
      <w:pPr>
        <w:pStyle w:val="Publication"/>
      </w:pPr>
      <w:r>
        <w:t>Danabalan, D.* et al. &amp; Ballentine, C.J. (2022). The principles of helium exploration. Petroleum Geoscience 28, petgeo2021-029.</w:t>
      </w:r>
    </w:p>
    <w:p w14:paraId="5841676A" w14:textId="77777777" w:rsidR="00BB53D8" w:rsidRDefault="0039351C">
      <w:pPr>
        <w:pStyle w:val="Publication"/>
      </w:pPr>
      <w:r>
        <w:t>Warr, O. et al. &amp; Ballentine, C.J. (2022). ⁸⁶Kr excess and other noble gases identify a billion-year-old radiogenically enriched groundwater system. Nature Communications 13.</w:t>
      </w:r>
    </w:p>
    <w:p w14:paraId="602924F3" w14:textId="77777777" w:rsidR="00BB53D8" w:rsidRDefault="0039351C">
      <w:pPr>
        <w:pStyle w:val="Publication"/>
      </w:pPr>
      <w:r>
        <w:t>Broadley, M.W.* et al. &amp; Ballentine, C.J. (2020). Identification of chondritic krypton and xenon in Yellowstone gases and the timing of terrestrial volatile accretion. PNAS 117, 13997–14004.</w:t>
      </w:r>
    </w:p>
    <w:p w14:paraId="257B5725" w14:textId="77777777" w:rsidR="00BB53D8" w:rsidRDefault="0039351C">
      <w:pPr>
        <w:pStyle w:val="Publication"/>
      </w:pPr>
      <w:r>
        <w:t>Jones, R.E.*, van Keken, P.E., Hauri, E.H., Tucker, J.M., Vervoort, J. &amp; Ballentine, C.J. (2019). Origins of the terrestrial Hf–Nd mantle array. Earth and Planetary Science Letters 518, 26–39.</w:t>
      </w:r>
    </w:p>
    <w:p w14:paraId="07CAEA41" w14:textId="77777777" w:rsidR="00BB53D8" w:rsidRDefault="0039351C">
      <w:pPr>
        <w:pStyle w:val="Publication"/>
      </w:pPr>
      <w:r>
        <w:t>Sumino, H., Burgess, R., Holland, G.*, Mizukami, T., Wallis, S.R. &amp; Ballentine, C.J. (2010). Seawater-derived noble gases and halogens preserved in exhumed mantle-wedge peridotite. Earth and Planetary Science Letters 294, 163–172.</w:t>
      </w:r>
    </w:p>
    <w:p w14:paraId="0E8981DA" w14:textId="77777777" w:rsidR="00BB53D8" w:rsidRDefault="0039351C">
      <w:pPr>
        <w:pStyle w:val="Heading2"/>
      </w:pPr>
      <w:r>
        <w:t>Selected plenary and invited recognition</w:t>
      </w:r>
    </w:p>
    <w:tbl>
      <w:tblPr>
        <w:tblW w:w="0" w:type="auto"/>
        <w:jc w:val="center"/>
        <w:tblLayout w:type="fixed"/>
        <w:tblLook w:val="04A0" w:firstRow="1" w:lastRow="0" w:firstColumn="1" w:lastColumn="0" w:noHBand="0" w:noVBand="1"/>
      </w:tblPr>
      <w:tblGrid>
        <w:gridCol w:w="1584"/>
        <w:gridCol w:w="8352"/>
      </w:tblGrid>
      <w:tr w:rsidR="00BB53D8" w14:paraId="7A752AFE" w14:textId="77777777">
        <w:trPr>
          <w:jc w:val="center"/>
        </w:trPr>
        <w:tc>
          <w:tcPr>
            <w:tcW w:w="1584" w:type="dxa"/>
            <w:tcMar>
              <w:top w:w="45" w:type="dxa"/>
              <w:left w:w="65" w:type="dxa"/>
              <w:bottom w:w="45" w:type="dxa"/>
              <w:right w:w="65" w:type="dxa"/>
            </w:tcMar>
          </w:tcPr>
          <w:p w14:paraId="4C47518D" w14:textId="77777777" w:rsidR="00BB53D8" w:rsidRDefault="0039351C">
            <w:pPr>
              <w:pStyle w:val="Timelineyear"/>
            </w:pPr>
            <w:r>
              <w:t>2025</w:t>
            </w:r>
          </w:p>
        </w:tc>
        <w:tc>
          <w:tcPr>
            <w:tcW w:w="8352" w:type="dxa"/>
            <w:tcMar>
              <w:top w:w="45" w:type="dxa"/>
              <w:left w:w="65" w:type="dxa"/>
              <w:bottom w:w="45" w:type="dxa"/>
              <w:right w:w="65" w:type="dxa"/>
            </w:tcMar>
          </w:tcPr>
          <w:p w14:paraId="67106164" w14:textId="77777777" w:rsidR="00BB53D8" w:rsidRDefault="0039351C">
            <w:pPr>
              <w:pStyle w:val="Timelinetext"/>
            </w:pPr>
            <w:r>
              <w:t>Goldschmidt Conference keynote, Prague; EGU invited lecture, Vienna.</w:t>
            </w:r>
          </w:p>
        </w:tc>
      </w:tr>
      <w:tr w:rsidR="00BB53D8" w14:paraId="1AACD3FF" w14:textId="77777777">
        <w:trPr>
          <w:jc w:val="center"/>
        </w:trPr>
        <w:tc>
          <w:tcPr>
            <w:tcW w:w="1584" w:type="dxa"/>
            <w:tcMar>
              <w:top w:w="45" w:type="dxa"/>
              <w:left w:w="65" w:type="dxa"/>
              <w:bottom w:w="45" w:type="dxa"/>
              <w:right w:w="65" w:type="dxa"/>
            </w:tcMar>
          </w:tcPr>
          <w:p w14:paraId="7BFF412A" w14:textId="77777777" w:rsidR="00BB53D8" w:rsidRDefault="0039351C">
            <w:pPr>
              <w:pStyle w:val="Timelineyear"/>
            </w:pPr>
            <w:r>
              <w:t>2024</w:t>
            </w:r>
          </w:p>
        </w:tc>
        <w:tc>
          <w:tcPr>
            <w:tcW w:w="8352" w:type="dxa"/>
            <w:tcMar>
              <w:top w:w="45" w:type="dxa"/>
              <w:left w:w="65" w:type="dxa"/>
              <w:bottom w:w="45" w:type="dxa"/>
              <w:right w:w="65" w:type="dxa"/>
            </w:tcMar>
          </w:tcPr>
          <w:p w14:paraId="0A73E1DF" w14:textId="77777777" w:rsidR="00BB53D8" w:rsidRDefault="0039351C">
            <w:pPr>
              <w:pStyle w:val="Timelinetext"/>
            </w:pPr>
            <w:r>
              <w:t>Woods Hole Oceanographic Institution and Carnegie Institution for Science, invited lectures.</w:t>
            </w:r>
          </w:p>
        </w:tc>
      </w:tr>
      <w:tr w:rsidR="00BB53D8" w14:paraId="613ED8D7" w14:textId="77777777">
        <w:trPr>
          <w:jc w:val="center"/>
        </w:trPr>
        <w:tc>
          <w:tcPr>
            <w:tcW w:w="1584" w:type="dxa"/>
            <w:tcMar>
              <w:top w:w="45" w:type="dxa"/>
              <w:left w:w="65" w:type="dxa"/>
              <w:bottom w:w="45" w:type="dxa"/>
              <w:right w:w="65" w:type="dxa"/>
            </w:tcMar>
          </w:tcPr>
          <w:p w14:paraId="734DA903" w14:textId="77777777" w:rsidR="00BB53D8" w:rsidRDefault="0039351C">
            <w:pPr>
              <w:pStyle w:val="Timelineyear"/>
            </w:pPr>
            <w:r>
              <w:t>2021</w:t>
            </w:r>
          </w:p>
        </w:tc>
        <w:tc>
          <w:tcPr>
            <w:tcW w:w="8352" w:type="dxa"/>
            <w:tcMar>
              <w:top w:w="45" w:type="dxa"/>
              <w:left w:w="65" w:type="dxa"/>
              <w:bottom w:w="45" w:type="dxa"/>
              <w:right w:w="65" w:type="dxa"/>
            </w:tcMar>
          </w:tcPr>
          <w:p w14:paraId="0559CDF5" w14:textId="77777777" w:rsidR="00BB53D8" w:rsidRDefault="0039351C">
            <w:pPr>
              <w:pStyle w:val="Timelinetext"/>
            </w:pPr>
            <w:r>
              <w:t>KAUST Research Open Week, opening plenary.</w:t>
            </w:r>
          </w:p>
        </w:tc>
      </w:tr>
      <w:tr w:rsidR="00BB53D8" w14:paraId="4C2C4836" w14:textId="77777777">
        <w:trPr>
          <w:jc w:val="center"/>
        </w:trPr>
        <w:tc>
          <w:tcPr>
            <w:tcW w:w="1584" w:type="dxa"/>
            <w:tcMar>
              <w:top w:w="45" w:type="dxa"/>
              <w:left w:w="65" w:type="dxa"/>
              <w:bottom w:w="45" w:type="dxa"/>
              <w:right w:w="65" w:type="dxa"/>
            </w:tcMar>
          </w:tcPr>
          <w:p w14:paraId="431189B8" w14:textId="77777777" w:rsidR="00BB53D8" w:rsidRDefault="0039351C">
            <w:pPr>
              <w:pStyle w:val="Timelineyear"/>
            </w:pPr>
            <w:r>
              <w:t>2020</w:t>
            </w:r>
          </w:p>
        </w:tc>
        <w:tc>
          <w:tcPr>
            <w:tcW w:w="8352" w:type="dxa"/>
            <w:tcMar>
              <w:top w:w="45" w:type="dxa"/>
              <w:left w:w="65" w:type="dxa"/>
              <w:bottom w:w="45" w:type="dxa"/>
              <w:right w:w="65" w:type="dxa"/>
            </w:tcMar>
          </w:tcPr>
          <w:p w14:paraId="12DD3AFA" w14:textId="77777777" w:rsidR="00BB53D8" w:rsidRDefault="0039351C">
            <w:pPr>
              <w:pStyle w:val="Timelinetext"/>
            </w:pPr>
            <w:r>
              <w:t>Goldschmidt Conference keynote.</w:t>
            </w:r>
          </w:p>
        </w:tc>
      </w:tr>
      <w:tr w:rsidR="00BB53D8" w14:paraId="312F9953" w14:textId="77777777">
        <w:trPr>
          <w:jc w:val="center"/>
        </w:trPr>
        <w:tc>
          <w:tcPr>
            <w:tcW w:w="1584" w:type="dxa"/>
            <w:tcMar>
              <w:top w:w="45" w:type="dxa"/>
              <w:left w:w="65" w:type="dxa"/>
              <w:bottom w:w="45" w:type="dxa"/>
              <w:right w:w="65" w:type="dxa"/>
            </w:tcMar>
          </w:tcPr>
          <w:p w14:paraId="59DB0CB8" w14:textId="77777777" w:rsidR="00BB53D8" w:rsidRDefault="0039351C">
            <w:pPr>
              <w:pStyle w:val="Timelineyear"/>
            </w:pPr>
            <w:r>
              <w:t>2019</w:t>
            </w:r>
          </w:p>
        </w:tc>
        <w:tc>
          <w:tcPr>
            <w:tcW w:w="8352" w:type="dxa"/>
            <w:tcMar>
              <w:top w:w="45" w:type="dxa"/>
              <w:left w:w="65" w:type="dxa"/>
              <w:bottom w:w="45" w:type="dxa"/>
              <w:right w:w="65" w:type="dxa"/>
            </w:tcMar>
          </w:tcPr>
          <w:p w14:paraId="4383C529" w14:textId="77777777" w:rsidR="00BB53D8" w:rsidRDefault="0039351C">
            <w:pPr>
              <w:pStyle w:val="Timelinetext"/>
            </w:pPr>
            <w:r>
              <w:t>IAEA Isotope Hydrology Conference, opening plenary; AGU invited lecture.</w:t>
            </w:r>
          </w:p>
        </w:tc>
      </w:tr>
      <w:tr w:rsidR="00BB53D8" w14:paraId="62820439" w14:textId="77777777">
        <w:trPr>
          <w:jc w:val="center"/>
        </w:trPr>
        <w:tc>
          <w:tcPr>
            <w:tcW w:w="1584" w:type="dxa"/>
            <w:tcMar>
              <w:top w:w="45" w:type="dxa"/>
              <w:left w:w="65" w:type="dxa"/>
              <w:bottom w:w="45" w:type="dxa"/>
              <w:right w:w="65" w:type="dxa"/>
            </w:tcMar>
          </w:tcPr>
          <w:p w14:paraId="0A19E06B" w14:textId="77777777" w:rsidR="00BB53D8" w:rsidRDefault="0039351C">
            <w:pPr>
              <w:pStyle w:val="Timelineyear"/>
            </w:pPr>
            <w:r>
              <w:t>2016</w:t>
            </w:r>
          </w:p>
        </w:tc>
        <w:tc>
          <w:tcPr>
            <w:tcW w:w="8352" w:type="dxa"/>
            <w:tcMar>
              <w:top w:w="45" w:type="dxa"/>
              <w:left w:w="65" w:type="dxa"/>
              <w:bottom w:w="45" w:type="dxa"/>
              <w:right w:w="65" w:type="dxa"/>
            </w:tcMar>
          </w:tcPr>
          <w:p w14:paraId="1DC3257E" w14:textId="77777777" w:rsidR="00BB53D8" w:rsidRDefault="0039351C">
            <w:pPr>
              <w:pStyle w:val="Timelinetext"/>
            </w:pPr>
            <w:r>
              <w:t>EGU Union keynote; Eni Lectio Magistralis lectures in Potenza and Milan.</w:t>
            </w:r>
          </w:p>
        </w:tc>
      </w:tr>
    </w:tbl>
    <w:p w14:paraId="30E8FA6A" w14:textId="77777777" w:rsidR="00BB53D8" w:rsidRDefault="0039351C">
      <w:pPr>
        <w:pStyle w:val="Heading2"/>
      </w:pPr>
      <w:r>
        <w:t>Professional and public value</w:t>
      </w:r>
    </w:p>
    <w:p w14:paraId="74DB8A13" w14:textId="77777777" w:rsidR="00BB53D8" w:rsidRDefault="0039351C">
      <w:pPr>
        <w:spacing w:after="60"/>
        <w:ind w:left="259" w:hanging="202"/>
      </w:pPr>
      <w:r>
        <w:rPr>
          <w:b/>
        </w:rPr>
        <w:t xml:space="preserve">•  </w:t>
      </w:r>
      <w:r>
        <w:t>Natural hydrogen and helium: process-based exploration frameworks, company formation and scientific advice across Africa, North America, the Middle East and Brazil.</w:t>
      </w:r>
    </w:p>
    <w:p w14:paraId="254CE561" w14:textId="77777777" w:rsidR="00BB53D8" w:rsidRDefault="0039351C">
      <w:pPr>
        <w:spacing w:after="60"/>
        <w:ind w:left="259" w:hanging="202"/>
      </w:pPr>
      <w:r>
        <w:rPr>
          <w:b/>
        </w:rPr>
        <w:t xml:space="preserve">•  </w:t>
      </w:r>
      <w:r>
        <w:t>Carbon storage: evidence that changed assumptions about geological trapping and identified biological transformation risks.</w:t>
      </w:r>
    </w:p>
    <w:p w14:paraId="12087210" w14:textId="77777777" w:rsidR="00BB53D8" w:rsidRDefault="0039351C">
      <w:pPr>
        <w:spacing w:after="60"/>
        <w:ind w:left="259" w:hanging="202"/>
      </w:pPr>
      <w:r>
        <w:rPr>
          <w:b/>
        </w:rPr>
        <w:t xml:space="preserve">•  </w:t>
      </w:r>
      <w:r>
        <w:t>Groundwater and waste isolation: isotope-based attribution of oil-field impacts and dating of fluids at proposed geological-disposal sites.</w:t>
      </w:r>
    </w:p>
    <w:p w14:paraId="690C8FA6" w14:textId="77777777" w:rsidR="00BB53D8" w:rsidRDefault="0039351C">
      <w:pPr>
        <w:spacing w:after="60"/>
        <w:ind w:left="259" w:hanging="202"/>
      </w:pPr>
      <w:r>
        <w:rPr>
          <w:b/>
        </w:rPr>
        <w:t xml:space="preserve">•  </w:t>
      </w:r>
      <w:r>
        <w:t>Scientific community: elected leadership of AGU and EAG, durable reform of the Goldschmidt Conference, and creation of opportunities and institutions that outlast individual terms of office.</w:t>
      </w:r>
    </w:p>
    <w:p w14:paraId="21EFCA38" w14:textId="77777777" w:rsidR="00BB53D8" w:rsidRDefault="0039351C">
      <w:pPr>
        <w:pStyle w:val="Heading2"/>
      </w:pPr>
      <w:r>
        <w:t>Core scholarly identity</w:t>
      </w:r>
    </w:p>
    <w:p w14:paraId="072D83F0" w14:textId="77777777" w:rsidR="00BB53D8" w:rsidRDefault="0039351C">
      <w:r>
        <w:t>Ballentine’s distinctive achievement is to have made noble gases an exact language for Earth-system processes and then used that language to answer questions of unusual scale: how Earth acquired its volatiles; how the mantle evolves; how long water, energy and life can persist in the crust; and whether deep gases can be predicted, stored or recovered safely. The work combines discovery, technique, theory, institution building and translation in an unusually broad, coherent and enduring scientific legacy.</w:t>
      </w:r>
    </w:p>
    <w:sectPr w:rsidR="00BB53D8" w:rsidSect="00034616">
      <w:headerReference w:type="default" r:id="rId8"/>
      <w:footerReference w:type="default" r:id="rId9"/>
      <w:pgSz w:w="12240" w:h="15840"/>
      <w:pgMar w:top="893" w:right="1037" w:bottom="835"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4158A" w14:textId="77777777" w:rsidR="003F3554" w:rsidRDefault="003F3554">
      <w:pPr>
        <w:spacing w:after="0" w:line="240" w:lineRule="auto"/>
      </w:pPr>
      <w:r>
        <w:separator/>
      </w:r>
    </w:p>
  </w:endnote>
  <w:endnote w:type="continuationSeparator" w:id="0">
    <w:p w14:paraId="26DAA2D5" w14:textId="77777777" w:rsidR="003F3554" w:rsidRDefault="003F3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E6B6" w14:textId="77777777" w:rsidR="00BB53D8" w:rsidRDefault="0039351C">
    <w:pPr>
      <w:pStyle w:val="Footer"/>
      <w:jc w:val="center"/>
    </w:pPr>
    <w:r>
      <w:rPr>
        <w:sz w:val="14"/>
      </w:rPr>
      <w:t xml:space="preserve">University of Oxford  •  Department of Earth Sciences  •  </w:t>
    </w:r>
    <w:r>
      <w:fldChar w:fldCharType="begin"/>
    </w:r>
    <w:r>
      <w:instrText>PAGE</w:instrText>
    </w:r>
    <w:r>
      <w:fldChar w:fldCharType="separate"/>
    </w:r>
    <w:r w:rsidR="005502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9CB3" w14:textId="77777777" w:rsidR="003F3554" w:rsidRDefault="003F3554">
      <w:pPr>
        <w:spacing w:after="0" w:line="240" w:lineRule="auto"/>
      </w:pPr>
      <w:r>
        <w:separator/>
      </w:r>
    </w:p>
  </w:footnote>
  <w:footnote w:type="continuationSeparator" w:id="0">
    <w:p w14:paraId="614C7D22" w14:textId="77777777" w:rsidR="003F3554" w:rsidRDefault="003F3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0323" w14:textId="77777777" w:rsidR="00BB53D8" w:rsidRDefault="0039351C">
    <w:pPr>
      <w:pStyle w:val="Header"/>
      <w:jc w:val="right"/>
    </w:pPr>
    <w:r>
      <w:rPr>
        <w:b/>
        <w:color w:val="5A5A5A"/>
        <w:sz w:val="14"/>
      </w:rPr>
      <w:t>CHRIS BALLENTINE  |  SHORT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0312293">
    <w:abstractNumId w:val="8"/>
  </w:num>
  <w:num w:numId="2" w16cid:durableId="870801663">
    <w:abstractNumId w:val="6"/>
  </w:num>
  <w:num w:numId="3" w16cid:durableId="91169314">
    <w:abstractNumId w:val="5"/>
  </w:num>
  <w:num w:numId="4" w16cid:durableId="1478763197">
    <w:abstractNumId w:val="4"/>
  </w:num>
  <w:num w:numId="5" w16cid:durableId="1502817534">
    <w:abstractNumId w:val="7"/>
  </w:num>
  <w:num w:numId="6" w16cid:durableId="994605327">
    <w:abstractNumId w:val="3"/>
  </w:num>
  <w:num w:numId="7" w16cid:durableId="791748846">
    <w:abstractNumId w:val="2"/>
  </w:num>
  <w:num w:numId="8" w16cid:durableId="689113733">
    <w:abstractNumId w:val="1"/>
  </w:num>
  <w:num w:numId="9" w16cid:durableId="103227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351C"/>
    <w:rsid w:val="003B1460"/>
    <w:rsid w:val="003F3554"/>
    <w:rsid w:val="00502F26"/>
    <w:rsid w:val="0055023F"/>
    <w:rsid w:val="00590D90"/>
    <w:rsid w:val="00781499"/>
    <w:rsid w:val="00AA1D8D"/>
    <w:rsid w:val="00B47730"/>
    <w:rsid w:val="00BB53D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86DE6"/>
  <w14:defaultImageDpi w14:val="300"/>
  <w15:docId w15:val="{709D548D-9CFF-4973-9325-FC77135AC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6" w:line="247" w:lineRule="auto"/>
    </w:pPr>
    <w:rPr>
      <w:rFonts w:ascii="Arial" w:hAnsi="Arial"/>
      <w:color w:val="000000"/>
      <w:sz w:val="18"/>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80" w:after="20"/>
      <w:outlineLvl w:val="2"/>
    </w:pPr>
    <w:rPr>
      <w:rFonts w:asciiTheme="majorHAnsi" w:eastAsiaTheme="majorEastAsia" w:hAnsiTheme="majorHAnsi" w:cstheme="majorBidi"/>
      <w:b/>
      <w:bCs/>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pPr>
    <w:rPr>
      <w:rFonts w:asciiTheme="majorHAnsi" w:eastAsiaTheme="majorEastAsia" w:hAnsiTheme="majorHAnsi" w:cstheme="majorBidi"/>
      <w:i/>
      <w:iCs/>
      <w:color w:val="46464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48" w:line="240" w:lineRule="auto"/>
    </w:pPr>
    <w:rPr>
      <w:rFonts w:ascii="Arial" w:hAnsi="Arial"/>
      <w:color w:val="191919"/>
      <w:sz w:val="21"/>
    </w:rPr>
  </w:style>
  <w:style w:type="paragraph" w:customStyle="1" w:styleId="Timelineyear">
    <w:name w:val="Timeline year"/>
    <w:pPr>
      <w:spacing w:after="48" w:line="240" w:lineRule="auto"/>
    </w:pPr>
    <w:rPr>
      <w:rFonts w:ascii="Arial" w:hAnsi="Arial"/>
      <w:b/>
      <w:color w:val="323232"/>
      <w:sz w:val="17"/>
    </w:rPr>
  </w:style>
  <w:style w:type="paragraph" w:customStyle="1" w:styleId="Timelinetext">
    <w:name w:val="Timeline text"/>
    <w:pPr>
      <w:spacing w:after="48" w:line="240" w:lineRule="auto"/>
    </w:pPr>
    <w:rPr>
      <w:rFonts w:ascii="Arial" w:hAnsi="Arial"/>
      <w:color w:val="191919"/>
      <w:sz w:val="18"/>
    </w:rPr>
  </w:style>
  <w:style w:type="paragraph" w:customStyle="1" w:styleId="Publication">
    <w:name w:val="Publication"/>
    <w:pPr>
      <w:spacing w:after="48" w:line="240" w:lineRule="auto"/>
    </w:pPr>
    <w:rPr>
      <w:rFonts w:ascii="Arial" w:hAnsi="Arial"/>
      <w:color w:val="1E1E1E"/>
      <w:sz w:val="16"/>
    </w:rPr>
  </w:style>
  <w:style w:type="paragraph" w:customStyle="1" w:styleId="Smallnote">
    <w:name w:val="Small note"/>
    <w:pPr>
      <w:spacing w:after="48" w:line="240" w:lineRule="auto"/>
    </w:pPr>
    <w:rPr>
      <w:rFonts w:ascii="Arial" w:hAnsi="Arial"/>
      <w:color w:val="4B4B4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7DEE9-FCC6-4B03-BE71-51E8FE7BB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2683</Words>
  <Characters>15296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Chris Ballentine Short Curriculum Vitae</dc:title>
  <dc:subject>Six page curriculum vitae covering scientific contributions, recognition, leadership and selected publications</dc:subject>
  <dc:creator>Professor Chris Ballentine</dc:creator>
  <cp:keywords/>
  <dc:description>generated by python-docx</dc:description>
  <cp:lastModifiedBy>Ruth Thomas</cp:lastModifiedBy>
  <cp:revision>2</cp:revision>
  <dcterms:created xsi:type="dcterms:W3CDTF">2026-10-12T08:26:00Z</dcterms:created>
  <dcterms:modified xsi:type="dcterms:W3CDTF">2026-10-12T08:26:00Z</dcterms:modified>
  <cp:category/>
</cp:coreProperties>
</file>